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5295"/>
        <w:gridCol w:w="3108"/>
      </w:tblGrid>
      <w:tr w:rsidR="00455F0E" w14:paraId="0E9F84D5" w14:textId="77777777" w:rsidTr="00B251E1">
        <w:trPr>
          <w:cantSplit/>
          <w:jc w:val="center"/>
        </w:trPr>
        <w:tc>
          <w:tcPr>
            <w:tcW w:w="653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720A43F2" w14:textId="77777777" w:rsidR="00455F0E" w:rsidRDefault="00455F0E">
            <w:pPr>
              <w:rPr>
                <w:rFonts w:ascii="Arial" w:eastAsia="Times New Roman" w:hAnsi="Arial" w:cs="Arial"/>
                <w:b/>
                <w:sz w:val="27"/>
                <w:szCs w:val="27"/>
                <w:lang w:val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7"/>
                <w:szCs w:val="27"/>
              </w:rPr>
              <w:t>ОРГАНИЗАЦИЯ</w:t>
            </w:r>
          </w:p>
          <w:p w14:paraId="0EDD937A" w14:textId="77777777" w:rsidR="00455F0E" w:rsidRDefault="00455F0E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ОБЪЕДИНЕННЫХ</w:t>
            </w:r>
          </w:p>
          <w:p w14:paraId="656F6CD6" w14:textId="77777777" w:rsidR="00455F0E" w:rsidRDefault="00455F0E">
            <w:pPr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НАЦИЙ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7EAF2C73" w14:textId="77777777" w:rsidR="00455F0E" w:rsidRDefault="00455F0E">
            <w:pPr>
              <w:spacing w:after="120"/>
              <w:jc w:val="right"/>
              <w:rPr>
                <w:rFonts w:ascii="Arial" w:hAnsi="Arial" w:cs="Arial"/>
                <w:b/>
                <w:sz w:val="64"/>
                <w:szCs w:val="64"/>
                <w:lang w:val="en-US"/>
              </w:rPr>
            </w:pPr>
            <w:r>
              <w:rPr>
                <w:rFonts w:ascii="Arial" w:hAnsi="Arial" w:cs="Arial"/>
                <w:b/>
                <w:sz w:val="64"/>
                <w:szCs w:val="64"/>
                <w:lang w:val="en-US"/>
              </w:rPr>
              <w:t>EP</w:t>
            </w:r>
          </w:p>
          <w:p w14:paraId="21492866" w14:textId="36E1B561" w:rsidR="00455F0E" w:rsidRDefault="00455F0E">
            <w:pPr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UNEP</w:t>
            </w:r>
            <w:r>
              <w:rPr>
                <w:lang w:val="en-US"/>
              </w:rPr>
              <w:t>/EA.</w:t>
            </w:r>
            <w:r w:rsidR="00222F56">
              <w:rPr>
                <w:lang w:val="en-US"/>
              </w:rPr>
              <w:t>4</w:t>
            </w:r>
            <w:r>
              <w:rPr>
                <w:lang w:val="en-US"/>
              </w:rPr>
              <w:t>/1</w:t>
            </w:r>
            <w:r w:rsidR="001C16C4">
              <w:rPr>
                <w:lang w:val="en-US"/>
              </w:rPr>
              <w:t>2</w:t>
            </w:r>
          </w:p>
        </w:tc>
      </w:tr>
      <w:tr w:rsidR="00455F0E" w14:paraId="7E929D76" w14:textId="77777777" w:rsidTr="00B251E1">
        <w:trPr>
          <w:cantSplit/>
          <w:trHeight w:val="20"/>
          <w:jc w:val="center"/>
        </w:trPr>
        <w:tc>
          <w:tcPr>
            <w:tcW w:w="1241" w:type="dxa"/>
            <w:tcBorders>
              <w:top w:val="single" w:sz="2" w:space="0" w:color="auto"/>
            </w:tcBorders>
          </w:tcPr>
          <w:p w14:paraId="18B7A690" w14:textId="77777777" w:rsidR="00455F0E" w:rsidRDefault="00455F0E">
            <w:pPr>
              <w:rPr>
                <w:sz w:val="16"/>
                <w:lang w:val="en-US"/>
              </w:rPr>
            </w:pPr>
          </w:p>
        </w:tc>
        <w:tc>
          <w:tcPr>
            <w:tcW w:w="5292" w:type="dxa"/>
            <w:tcBorders>
              <w:top w:val="single" w:sz="2" w:space="0" w:color="auto"/>
            </w:tcBorders>
          </w:tcPr>
          <w:p w14:paraId="587DAB37" w14:textId="77777777" w:rsidR="00455F0E" w:rsidRDefault="00455F0E">
            <w:pPr>
              <w:rPr>
                <w:sz w:val="16"/>
                <w:lang w:val="en-US"/>
              </w:rPr>
            </w:pPr>
          </w:p>
        </w:tc>
        <w:tc>
          <w:tcPr>
            <w:tcW w:w="3106" w:type="dxa"/>
            <w:vMerge w:val="restart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681E5311" w14:textId="77777777" w:rsidR="00455F0E" w:rsidRDefault="00455F0E">
            <w:pPr>
              <w:rPr>
                <w:lang w:val="en-US"/>
              </w:rPr>
            </w:pPr>
          </w:p>
          <w:p w14:paraId="6E659734" w14:textId="64530732" w:rsidR="00455F0E" w:rsidRDefault="00455F0E">
            <w:pPr>
              <w:rPr>
                <w:lang w:val="en-US"/>
              </w:rPr>
            </w:pPr>
            <w:r>
              <w:rPr>
                <w:lang w:val="en-US"/>
              </w:rPr>
              <w:t xml:space="preserve">Distr.: </w:t>
            </w:r>
            <w:r w:rsidR="00222F56">
              <w:rPr>
                <w:lang w:val="en-US"/>
              </w:rPr>
              <w:t>General</w:t>
            </w:r>
          </w:p>
          <w:p w14:paraId="4A669289" w14:textId="0BF82534" w:rsidR="00455F0E" w:rsidRDefault="00455F0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C16C4">
              <w:rPr>
                <w:lang w:val="en-US"/>
              </w:rPr>
              <w:t>0</w:t>
            </w:r>
            <w:r>
              <w:rPr>
                <w:lang w:val="en-US"/>
              </w:rPr>
              <w:t xml:space="preserve"> December 201</w:t>
            </w:r>
            <w:r w:rsidR="00222F56">
              <w:rPr>
                <w:lang w:val="en-US"/>
              </w:rPr>
              <w:t>8</w:t>
            </w:r>
          </w:p>
          <w:p w14:paraId="5C107A4B" w14:textId="77777777" w:rsidR="00455F0E" w:rsidRDefault="00455F0E">
            <w:pPr>
              <w:rPr>
                <w:lang w:val="en-US"/>
              </w:rPr>
            </w:pPr>
          </w:p>
          <w:p w14:paraId="7F3077FE" w14:textId="77777777" w:rsidR="00455F0E" w:rsidRDefault="00455F0E">
            <w:pPr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17848EF" w14:textId="77777777" w:rsidR="00455F0E" w:rsidRDefault="00455F0E">
            <w:pPr>
              <w:rPr>
                <w:sz w:val="22"/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  <w:tr w:rsidR="00455F0E" w:rsidRPr="00C96E8D" w14:paraId="395D44DF" w14:textId="77777777" w:rsidTr="00455F0E">
        <w:trPr>
          <w:cantSplit/>
          <w:jc w:val="center"/>
        </w:trPr>
        <w:tc>
          <w:tcPr>
            <w:tcW w:w="1241" w:type="dxa"/>
            <w:hideMark/>
          </w:tcPr>
          <w:p w14:paraId="59AFB140" w14:textId="77777777" w:rsidR="00455F0E" w:rsidRDefault="00455F0E">
            <w:pPr>
              <w:rPr>
                <w:sz w:val="1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C349E1" wp14:editId="5AF5FB27">
                  <wp:extent cx="650240" cy="554990"/>
                  <wp:effectExtent l="0" t="0" r="0" b="0"/>
                  <wp:docPr id="1" name="Picture 1" descr="Description: 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  <w:vMerge w:val="restar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42FD385" w14:textId="77777777" w:rsidR="00455F0E" w:rsidRDefault="00455F0E">
            <w:pPr>
              <w:rPr>
                <w:rFonts w:ascii="Arial" w:hAnsi="Arial" w:cs="Arial"/>
                <w:b/>
                <w:sz w:val="22"/>
                <w:lang w:val="en-US"/>
              </w:rPr>
            </w:pPr>
          </w:p>
          <w:p w14:paraId="79D26509" w14:textId="77777777" w:rsidR="00455F0E" w:rsidRDefault="00455F0E">
            <w:pPr>
              <w:rPr>
                <w:rFonts w:ascii="Arial" w:hAnsi="Arial" w:cs="Arial"/>
                <w:b/>
                <w:lang w:val="en-US"/>
              </w:rPr>
            </w:pPr>
          </w:p>
          <w:p w14:paraId="177B14AA" w14:textId="77777777" w:rsidR="00455F0E" w:rsidRDefault="00455F0E">
            <w:pPr>
              <w:rPr>
                <w:rFonts w:ascii="Arial" w:hAnsi="Arial" w:cs="Arial"/>
                <w:b/>
                <w:lang w:val="en-US"/>
              </w:rPr>
            </w:pPr>
          </w:p>
          <w:p w14:paraId="67D4841D" w14:textId="77777777" w:rsidR="00455F0E" w:rsidRDefault="00455F0E">
            <w:pPr>
              <w:rPr>
                <w:rFonts w:ascii="Arial" w:hAnsi="Arial" w:cs="Arial"/>
                <w:b/>
                <w:lang w:val="en-US"/>
              </w:rPr>
            </w:pPr>
          </w:p>
          <w:p w14:paraId="5EDD3BE1" w14:textId="77777777" w:rsidR="00455F0E" w:rsidRDefault="00455F0E" w:rsidP="00B251E1">
            <w:pPr>
              <w:spacing w:after="120"/>
              <w:rPr>
                <w:rFonts w:ascii="Arial" w:hAnsi="Arial" w:cs="Arial"/>
                <w:b/>
                <w:sz w:val="27"/>
                <w:szCs w:val="27"/>
                <w:lang w:val="ru-RU"/>
              </w:rPr>
            </w:pPr>
            <w:r w:rsidRPr="00455F0E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Ассамблея Организации Объединенных Наций по окружающей среде Программы Организации Объединенных </w:t>
            </w:r>
            <w:r w:rsidRPr="00455F0E">
              <w:rPr>
                <w:rFonts w:ascii="Arial" w:hAnsi="Arial" w:cs="Arial"/>
                <w:b/>
                <w:sz w:val="28"/>
                <w:szCs w:val="28"/>
                <w:lang w:val="ru-RU"/>
              </w:rPr>
              <w:br/>
              <w:t>Наций по окружающей среде</w:t>
            </w: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684EFD6E" w14:textId="77777777" w:rsidR="00455F0E" w:rsidRPr="00455F0E" w:rsidRDefault="00455F0E">
            <w:pPr>
              <w:rPr>
                <w:sz w:val="22"/>
                <w:lang w:val="ru-RU"/>
              </w:rPr>
            </w:pPr>
          </w:p>
        </w:tc>
      </w:tr>
      <w:tr w:rsidR="00455F0E" w:rsidRPr="00C96E8D" w14:paraId="0ABD3407" w14:textId="77777777" w:rsidTr="00455F0E">
        <w:trPr>
          <w:cantSplit/>
          <w:trHeight w:val="20"/>
          <w:jc w:val="center"/>
        </w:trPr>
        <w:tc>
          <w:tcPr>
            <w:tcW w:w="1241" w:type="dxa"/>
          </w:tcPr>
          <w:p w14:paraId="4A27E5AB" w14:textId="77777777" w:rsidR="00455F0E" w:rsidRPr="00455F0E" w:rsidRDefault="00455F0E">
            <w:pPr>
              <w:rPr>
                <w:sz w:val="16"/>
                <w:szCs w:val="20"/>
                <w:lang w:val="ru-RU"/>
              </w:rPr>
            </w:pPr>
          </w:p>
        </w:tc>
        <w:tc>
          <w:tcPr>
            <w:tcW w:w="5292" w:type="dxa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77A2B5F9" w14:textId="77777777" w:rsidR="00455F0E" w:rsidRDefault="00455F0E">
            <w:pPr>
              <w:rPr>
                <w:rFonts w:ascii="Arial" w:hAnsi="Arial" w:cs="Arial"/>
                <w:b/>
                <w:sz w:val="27"/>
                <w:szCs w:val="27"/>
                <w:lang w:val="ru-RU"/>
              </w:rPr>
            </w:pP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382BFE07" w14:textId="77777777" w:rsidR="00455F0E" w:rsidRPr="00455F0E" w:rsidRDefault="00455F0E">
            <w:pPr>
              <w:rPr>
                <w:sz w:val="22"/>
                <w:lang w:val="ru-RU"/>
              </w:rPr>
            </w:pPr>
          </w:p>
        </w:tc>
      </w:tr>
      <w:bookmarkStart w:id="1" w:name="_MON_992911701"/>
      <w:bookmarkEnd w:id="1"/>
      <w:tr w:rsidR="00455F0E" w14:paraId="12F6C859" w14:textId="77777777" w:rsidTr="00455F0E">
        <w:trPr>
          <w:cantSplit/>
          <w:trHeight w:val="962"/>
          <w:jc w:val="center"/>
        </w:trPr>
        <w:tc>
          <w:tcPr>
            <w:tcW w:w="1241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1781B016" w14:textId="77777777" w:rsidR="00455F0E" w:rsidRDefault="00455F0E">
            <w:pPr>
              <w:rPr>
                <w:sz w:val="22"/>
                <w:lang w:val="en-US"/>
              </w:rPr>
            </w:pPr>
            <w:r>
              <w:rPr>
                <w:rFonts w:eastAsia="Times New Roman"/>
                <w:sz w:val="22"/>
                <w:szCs w:val="20"/>
                <w:lang w:val="ru-RU"/>
              </w:rPr>
              <w:object w:dxaOrig="1020" w:dyaOrig="900" w14:anchorId="29B0EC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45.75pt" o:ole="" fillcolor="window">
                  <v:imagedata r:id="rId9" o:title="" cropbottom="13140f"/>
                </v:shape>
                <o:OLEObject Type="Embed" ProgID="Word.Picture.8" ShapeID="_x0000_i1025" DrawAspect="Content" ObjectID="_1611125222" r:id="rId10"/>
              </w:object>
            </w:r>
          </w:p>
        </w:tc>
        <w:tc>
          <w:tcPr>
            <w:tcW w:w="5292" w:type="dxa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654CF0AA" w14:textId="77777777" w:rsidR="00455F0E" w:rsidRDefault="00455F0E">
            <w:pPr>
              <w:rPr>
                <w:rFonts w:ascii="Arial" w:hAnsi="Arial" w:cs="Arial"/>
                <w:b/>
                <w:sz w:val="27"/>
                <w:szCs w:val="27"/>
                <w:lang w:val="ru-RU"/>
              </w:rPr>
            </w:pPr>
          </w:p>
        </w:tc>
        <w:tc>
          <w:tcPr>
            <w:tcW w:w="3106" w:type="dxa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53B99E32" w14:textId="77777777" w:rsidR="00455F0E" w:rsidRDefault="00455F0E">
            <w:pPr>
              <w:rPr>
                <w:sz w:val="22"/>
                <w:lang w:val="en-US"/>
              </w:rPr>
            </w:pPr>
          </w:p>
        </w:tc>
      </w:tr>
    </w:tbl>
    <w:p w14:paraId="2070AC31" w14:textId="77777777" w:rsidR="00455F0E" w:rsidRDefault="00455F0E" w:rsidP="00455F0E">
      <w:pPr>
        <w:rPr>
          <w:b/>
          <w:szCs w:val="20"/>
          <w:lang w:val="ru-RU"/>
        </w:rPr>
      </w:pPr>
      <w:r w:rsidRPr="00455F0E">
        <w:rPr>
          <w:b/>
          <w:lang w:val="ru-RU"/>
        </w:rPr>
        <w:t>Ассамблея</w:t>
      </w:r>
      <w:r>
        <w:rPr>
          <w:b/>
          <w:lang w:val="ru-RU"/>
        </w:rPr>
        <w:t xml:space="preserve"> Организации Объединенных Наций</w:t>
      </w:r>
      <w:r w:rsidRPr="00455F0E">
        <w:rPr>
          <w:b/>
          <w:lang w:val="ru-RU"/>
        </w:rPr>
        <w:br/>
        <w:t>по окружаю</w:t>
      </w:r>
      <w:r>
        <w:rPr>
          <w:b/>
          <w:lang w:val="ru-RU"/>
        </w:rPr>
        <w:t>щей среде Программы Организации</w:t>
      </w:r>
      <w:r w:rsidRPr="00455F0E">
        <w:rPr>
          <w:b/>
          <w:lang w:val="ru-RU"/>
        </w:rPr>
        <w:br/>
        <w:t>Объединенных Наций по окружающей среде</w:t>
      </w:r>
    </w:p>
    <w:p w14:paraId="1D8A8D93" w14:textId="6B578DCA" w:rsidR="00455F0E" w:rsidRPr="00455F0E" w:rsidRDefault="00222F56" w:rsidP="00455F0E">
      <w:pPr>
        <w:rPr>
          <w:b/>
          <w:lang w:val="ru-RU"/>
        </w:rPr>
      </w:pPr>
      <w:r>
        <w:rPr>
          <w:b/>
          <w:lang w:val="ru-RU"/>
        </w:rPr>
        <w:t>Четвертая</w:t>
      </w:r>
      <w:r w:rsidR="00455F0E" w:rsidRPr="00455F0E">
        <w:rPr>
          <w:b/>
          <w:lang w:val="ru-RU"/>
        </w:rPr>
        <w:t xml:space="preserve"> сессия</w:t>
      </w:r>
    </w:p>
    <w:p w14:paraId="6765F599" w14:textId="79203A92" w:rsidR="00455F0E" w:rsidRDefault="00455F0E" w:rsidP="00720913">
      <w:pPr>
        <w:rPr>
          <w:lang w:val="ru-RU"/>
        </w:rPr>
      </w:pPr>
      <w:r w:rsidRPr="00455F0E">
        <w:rPr>
          <w:lang w:val="ru-RU"/>
        </w:rPr>
        <w:t xml:space="preserve">Найроби, </w:t>
      </w:r>
      <w:r w:rsidR="00222F56">
        <w:rPr>
          <w:lang w:val="ru-RU"/>
        </w:rPr>
        <w:t>11</w:t>
      </w:r>
      <w:r w:rsidRPr="00455F0E">
        <w:rPr>
          <w:lang w:val="ru-RU"/>
        </w:rPr>
        <w:t>-</w:t>
      </w:r>
      <w:r w:rsidR="00222F56">
        <w:rPr>
          <w:lang w:val="ru-RU"/>
        </w:rPr>
        <w:t>15</w:t>
      </w:r>
      <w:r w:rsidRPr="00455F0E">
        <w:rPr>
          <w:lang w:val="ru-RU"/>
        </w:rPr>
        <w:t xml:space="preserve"> </w:t>
      </w:r>
      <w:r w:rsidR="00222F56">
        <w:rPr>
          <w:lang w:val="ru-RU"/>
        </w:rPr>
        <w:t>марта</w:t>
      </w:r>
      <w:r w:rsidRPr="00455F0E">
        <w:rPr>
          <w:lang w:val="ru-RU"/>
        </w:rPr>
        <w:t xml:space="preserve"> 201</w:t>
      </w:r>
      <w:r w:rsidR="00222F56">
        <w:rPr>
          <w:lang w:val="ru-RU"/>
        </w:rPr>
        <w:t>9</w:t>
      </w:r>
      <w:r w:rsidRPr="00455F0E">
        <w:rPr>
          <w:lang w:val="ru-RU"/>
        </w:rPr>
        <w:t xml:space="preserve"> года</w:t>
      </w:r>
    </w:p>
    <w:p w14:paraId="4809C00C" w14:textId="77777777" w:rsidR="00720913" w:rsidRPr="00272ED6" w:rsidRDefault="00720913" w:rsidP="00720913">
      <w:pPr>
        <w:pStyle w:val="AATitle"/>
        <w:keepNext w:val="0"/>
        <w:keepLines w:val="0"/>
        <w:spacing w:after="60"/>
        <w:rPr>
          <w:lang w:val="ru-RU"/>
        </w:rPr>
      </w:pPr>
      <w:r w:rsidRPr="00272ED6">
        <w:rPr>
          <w:b w:val="0"/>
          <w:lang w:val="ru-RU"/>
        </w:rPr>
        <w:t>Пункт 6 предварительной повестки дня</w:t>
      </w:r>
      <w:r w:rsidRPr="00C004F2">
        <w:rPr>
          <w:rStyle w:val="FootnoteReference"/>
          <w:b w:val="0"/>
          <w:szCs w:val="20"/>
          <w:vertAlign w:val="baseline"/>
          <w:lang w:val="ru-RU"/>
        </w:rPr>
        <w:footnoteReference w:customMarkFollows="1" w:id="1"/>
        <w:t>*</w:t>
      </w:r>
    </w:p>
    <w:p w14:paraId="06D75841" w14:textId="708ABDFB" w:rsidR="00720913" w:rsidRPr="00C96E8D" w:rsidRDefault="00C96E8D" w:rsidP="003751F8">
      <w:pPr>
        <w:spacing w:after="120"/>
        <w:ind w:right="1701"/>
        <w:rPr>
          <w:b/>
          <w:lang w:val="ru-RU"/>
        </w:rPr>
      </w:pPr>
      <w:r w:rsidRPr="00C96E8D">
        <w:rPr>
          <w:b/>
          <w:lang w:val="ru-RU"/>
        </w:rPr>
        <w:t>Программа работы и бюджет и другие административные и бюджетные вопросы</w:t>
      </w:r>
    </w:p>
    <w:p w14:paraId="7C62CE5E" w14:textId="6C42187F" w:rsidR="00AE21DE" w:rsidRPr="005E5E77" w:rsidRDefault="00577D45" w:rsidP="005E5E77">
      <w:pPr>
        <w:spacing w:before="360" w:after="240"/>
        <w:ind w:left="1247" w:right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</w:t>
      </w:r>
      <w:r w:rsidR="00AE21DE" w:rsidRPr="005E5E77">
        <w:rPr>
          <w:b/>
          <w:sz w:val="28"/>
          <w:szCs w:val="28"/>
          <w:lang w:val="ru-RU"/>
        </w:rPr>
        <w:t xml:space="preserve">од работы Специальной экспертной группы открытого состава по проблеме мусора и микрочастиц пластмасс в морской среде, </w:t>
      </w:r>
      <w:r w:rsidR="00F6170A">
        <w:rPr>
          <w:b/>
          <w:sz w:val="28"/>
          <w:szCs w:val="28"/>
          <w:lang w:val="ru-RU"/>
        </w:rPr>
        <w:t>учрежденной</w:t>
      </w:r>
      <w:r w:rsidR="00AE21DE" w:rsidRPr="005E5E77">
        <w:rPr>
          <w:b/>
          <w:sz w:val="28"/>
          <w:szCs w:val="28"/>
          <w:lang w:val="ru-RU"/>
        </w:rPr>
        <w:t xml:space="preserve"> в соответствии с резолюцией</w:t>
      </w:r>
      <w:r>
        <w:rPr>
          <w:b/>
          <w:sz w:val="28"/>
          <w:szCs w:val="28"/>
          <w:lang w:val="ru-RU"/>
        </w:rPr>
        <w:t> </w:t>
      </w:r>
      <w:r w:rsidR="00AE21DE" w:rsidRPr="005E5E77">
        <w:rPr>
          <w:b/>
          <w:sz w:val="28"/>
          <w:szCs w:val="28"/>
          <w:lang w:val="ru-RU"/>
        </w:rPr>
        <w:t>3/7</w:t>
      </w:r>
    </w:p>
    <w:p w14:paraId="7593E3CE" w14:textId="77777777" w:rsidR="00AE21DE" w:rsidRPr="005E5E77" w:rsidRDefault="00AE21DE" w:rsidP="000041D9">
      <w:pPr>
        <w:spacing w:after="120"/>
        <w:ind w:left="1247"/>
        <w:rPr>
          <w:b/>
          <w:sz w:val="24"/>
          <w:szCs w:val="24"/>
          <w:lang w:val="ru-RU"/>
        </w:rPr>
      </w:pPr>
      <w:r w:rsidRPr="005E5E77">
        <w:rPr>
          <w:b/>
          <w:sz w:val="24"/>
          <w:szCs w:val="24"/>
          <w:lang w:val="ru-RU"/>
        </w:rPr>
        <w:t>Доклад Директора-исполнителя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491"/>
      </w:tblGrid>
      <w:tr w:rsidR="00AE21DE" w:rsidRPr="00C96E8D" w14:paraId="2F32BC01" w14:textId="77777777" w:rsidTr="00993D16">
        <w:trPr>
          <w:trHeight w:val="667"/>
        </w:trPr>
        <w:tc>
          <w:tcPr>
            <w:tcW w:w="9491" w:type="dxa"/>
          </w:tcPr>
          <w:p w14:paraId="4597592F" w14:textId="4D5C70E3" w:rsidR="00AE21DE" w:rsidRPr="006C7434" w:rsidRDefault="00AE21DE" w:rsidP="005E5E77">
            <w:pPr>
              <w:spacing w:after="120"/>
              <w:rPr>
                <w:i/>
                <w:sz w:val="24"/>
                <w:szCs w:val="24"/>
                <w:lang w:val="ru-RU"/>
              </w:rPr>
            </w:pPr>
            <w:r w:rsidRPr="006C7434">
              <w:rPr>
                <w:i/>
                <w:sz w:val="24"/>
                <w:szCs w:val="24"/>
                <w:lang w:val="ru-RU"/>
              </w:rPr>
              <w:t>Резюме</w:t>
            </w:r>
          </w:p>
          <w:p w14:paraId="5A4549F2" w14:textId="1AE8E4D3" w:rsidR="00AE21DE" w:rsidRPr="00AE21DE" w:rsidRDefault="00F6170A" w:rsidP="005E5E77">
            <w:pPr>
              <w:spacing w:after="120"/>
              <w:ind w:left="1247" w:firstLine="624"/>
              <w:rPr>
                <w:szCs w:val="20"/>
                <w:lang w:val="ru-RU"/>
              </w:rPr>
            </w:pPr>
            <w:r>
              <w:rPr>
                <w:lang w:val="ru-RU"/>
              </w:rPr>
              <w:t>В соответствии с резолюцией 3/7 о морском мусоре и микрочастицах пластмасс</w:t>
            </w:r>
            <w:r w:rsidRPr="008F43CC">
              <w:rPr>
                <w:vertAlign w:val="superscript"/>
              </w:rPr>
              <w:footnoteReference w:id="2"/>
            </w:r>
            <w:r>
              <w:rPr>
                <w:lang w:val="ru-RU"/>
              </w:rPr>
              <w:t xml:space="preserve">, принятой Ассамблеей Организации Объединенных Наций по окружающей среде Программы Организации Объединенных Наций по окружающей среде на ее третьей сессии, состоявшейся в Найроби 4-6 декабря 2017 года, секретариат Программы Организации Объединенных Наций по окружающей среде (ЮНЕП) в 2018 году организовал проведение двух совещаний </w:t>
            </w:r>
            <w:r w:rsidR="00095100">
              <w:rPr>
                <w:lang w:val="ru-RU"/>
              </w:rPr>
              <w:t>С</w:t>
            </w:r>
            <w:r>
              <w:rPr>
                <w:lang w:val="ru-RU"/>
              </w:rPr>
              <w:t>пециальной экспертной группы открытого состава по проблеме мусора и микрочастиц пластмасс в морской среде, учрежденной в соответствии с упомянутой резолюцией, чтобы дополнительно изучить препятствия и возможности в области борьбы с морским пластиковым мусором и микрочастицами пластмасс из всех источников, особенно из расположенных на суше источников, и представить Ассамблее по окружающей среде на ее четвертой сессии варианты продолжения работы. В той же резолюции Директору</w:t>
            </w:r>
            <w:r>
              <w:rPr>
                <w:lang w:val="ru-RU"/>
              </w:rPr>
              <w:noBreakHyphen/>
              <w:t xml:space="preserve">исполнителю ЮНЕП было предложено представить Ассамблее по окружающей среде на ее четвертой сессии доклад о результатах совещания (или совещаний) </w:t>
            </w:r>
            <w:r w:rsidR="00095100">
              <w:rPr>
                <w:lang w:val="ru-RU"/>
              </w:rPr>
              <w:t>Г</w:t>
            </w:r>
            <w:r>
              <w:rPr>
                <w:lang w:val="ru-RU"/>
              </w:rPr>
              <w:t xml:space="preserve">руппы, с тем чтобы Ассамблея могла определить будущее направление, сроки и ожидаемые результаты дальнейшей работы по данной проблематике. В приложении к настоящему докладу излагаются определенные </w:t>
            </w:r>
            <w:r w:rsidR="00095100">
              <w:rPr>
                <w:lang w:val="ru-RU"/>
              </w:rPr>
              <w:t>Э</w:t>
            </w:r>
            <w:r>
              <w:rPr>
                <w:lang w:val="ru-RU"/>
              </w:rPr>
              <w:t xml:space="preserve">кспертной группой варианты дальнейшей работы. Дополнительная информация об обсуждениях, состоявшихся в ходе двух совещаний </w:t>
            </w:r>
            <w:r w:rsidR="00095100">
              <w:rPr>
                <w:lang w:val="ru-RU"/>
              </w:rPr>
              <w:t>Г</w:t>
            </w:r>
            <w:r>
              <w:rPr>
                <w:lang w:val="ru-RU"/>
              </w:rPr>
              <w:t>руппы, имеется по адресу: https://papersmart.unon.org/resolution/adhoc-oeeg.</w:t>
            </w:r>
          </w:p>
        </w:tc>
      </w:tr>
    </w:tbl>
    <w:p w14:paraId="48634C34" w14:textId="52A43F0B" w:rsidR="00AE21DE" w:rsidRPr="005E5E77" w:rsidRDefault="005E5E77" w:rsidP="005E5E77">
      <w:pPr>
        <w:keepNext/>
        <w:keepLines/>
        <w:tabs>
          <w:tab w:val="right" w:pos="851"/>
        </w:tabs>
        <w:spacing w:before="240" w:after="120"/>
        <w:ind w:left="1247" w:right="284" w:hanging="124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ab/>
      </w:r>
      <w:r>
        <w:rPr>
          <w:b/>
          <w:sz w:val="28"/>
          <w:szCs w:val="28"/>
        </w:rPr>
        <w:t>I</w:t>
      </w:r>
      <w:r w:rsidRPr="005E5E77">
        <w:rPr>
          <w:b/>
          <w:sz w:val="28"/>
          <w:szCs w:val="28"/>
          <w:lang w:val="ru-RU"/>
        </w:rPr>
        <w:t>.</w:t>
      </w:r>
      <w:r w:rsidRPr="005E5E77">
        <w:rPr>
          <w:b/>
          <w:sz w:val="28"/>
          <w:szCs w:val="28"/>
          <w:lang w:val="ru-RU"/>
        </w:rPr>
        <w:tab/>
      </w:r>
      <w:r w:rsidR="00AE21DE" w:rsidRPr="005E5E77">
        <w:rPr>
          <w:b/>
          <w:sz w:val="28"/>
          <w:szCs w:val="28"/>
          <w:lang w:val="ru-RU"/>
        </w:rPr>
        <w:t>Ход осуществления резолюции 3/7</w:t>
      </w:r>
    </w:p>
    <w:p w14:paraId="556A54E0" w14:textId="3DE5165F" w:rsidR="00F6170A" w:rsidRPr="00F6170A" w:rsidRDefault="00F6170A" w:rsidP="00F6170A">
      <w:pPr>
        <w:spacing w:after="120"/>
        <w:ind w:left="1247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</w:r>
      <w:r w:rsidRPr="00F6170A">
        <w:rPr>
          <w:lang w:val="ru-RU"/>
        </w:rPr>
        <w:t xml:space="preserve">В соответствии с резолюцией 3/7 о морском мусоре и микрочастицах пластмасс секретариатом Программы Организации Объединенных Наций по окружающей среде (ЮНЕП) было организовано проведение двух совещаний </w:t>
      </w:r>
      <w:r w:rsidR="00095100">
        <w:rPr>
          <w:lang w:val="ru-RU"/>
        </w:rPr>
        <w:t>С</w:t>
      </w:r>
      <w:r w:rsidRPr="00F6170A">
        <w:rPr>
          <w:lang w:val="ru-RU"/>
        </w:rPr>
        <w:t>пециальной экспертной группы открытого состава по проблеме мусора и микрочастиц пластмасс в морской среде, учрежденной в соответствии с упомянутой резолюцией, чтобы дополнительно изучить препятствия и возможности в области борьбы с морским пластиковым мусором и микрочастицами пластмасс из всех источников, особенно из расположенных на суше источников, и представить Ассамблее по окружающей среде на ее четвертой сессии варианты продолжения работы. Директору</w:t>
      </w:r>
      <w:r>
        <w:rPr>
          <w:lang w:val="ru-RU"/>
        </w:rPr>
        <w:noBreakHyphen/>
      </w:r>
      <w:r w:rsidRPr="00F6170A">
        <w:rPr>
          <w:lang w:val="ru-RU"/>
        </w:rPr>
        <w:t>исполнителю было поручено представить Ассамблее по окружающей среде на ее четвертой сессии информацию о ходе осуществления программы работы, в том числе о результатах совещания (или совещаний), в ходе которой Ассамблеей было постановлено определить будущее направление, сроки и ожидаемые результаты этой работы.</w:t>
      </w:r>
    </w:p>
    <w:p w14:paraId="6B47089D" w14:textId="0C40AD08" w:rsidR="00F6170A" w:rsidRPr="00F6170A" w:rsidRDefault="00F6170A" w:rsidP="00F6170A">
      <w:pPr>
        <w:spacing w:after="120"/>
        <w:ind w:left="1247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</w:r>
      <w:r w:rsidRPr="00F6170A">
        <w:rPr>
          <w:lang w:val="ru-RU"/>
        </w:rPr>
        <w:t>Совещания</w:t>
      </w:r>
      <w:r w:rsidRPr="00F6170A">
        <w:rPr>
          <w:vertAlign w:val="superscript"/>
        </w:rPr>
        <w:footnoteReference w:id="3"/>
      </w:r>
      <w:r w:rsidRPr="00F6170A">
        <w:rPr>
          <w:lang w:val="ru-RU"/>
        </w:rPr>
        <w:t xml:space="preserve"> были проведены 29-31 мая 2018 года в Найроби и 3-7 декабря в Женеве благодаря финансовой поддержке со стороны правительств Норвегии, </w:t>
      </w:r>
      <w:r w:rsidR="006C7434" w:rsidRPr="00F6170A">
        <w:rPr>
          <w:lang w:val="ru-RU"/>
        </w:rPr>
        <w:t>Швейцарии</w:t>
      </w:r>
      <w:r w:rsidR="006C7434">
        <w:rPr>
          <w:lang w:val="ru-RU"/>
        </w:rPr>
        <w:t xml:space="preserve"> и</w:t>
      </w:r>
      <w:r w:rsidR="006C7434" w:rsidRPr="00F6170A">
        <w:rPr>
          <w:lang w:val="ru-RU"/>
        </w:rPr>
        <w:t xml:space="preserve"> </w:t>
      </w:r>
      <w:r w:rsidRPr="00F6170A">
        <w:rPr>
          <w:lang w:val="ru-RU"/>
        </w:rPr>
        <w:t>Швеции, а также Северного совета. На первом совещании в соответствии с пунктом 3 правила 63 правил процедуры Ассамблеи по окружающей среде г-жа Элизабет Тэйлор Джей (Колумбия) и г</w:t>
      </w:r>
      <w:r>
        <w:rPr>
          <w:lang w:val="ru-RU"/>
        </w:rPr>
        <w:noBreakHyphen/>
      </w:r>
      <w:r w:rsidRPr="00F6170A">
        <w:rPr>
          <w:lang w:val="ru-RU"/>
        </w:rPr>
        <w:t>жа</w:t>
      </w:r>
      <w:r>
        <w:rPr>
          <w:lang w:val="ru-RU"/>
        </w:rPr>
        <w:t> </w:t>
      </w:r>
      <w:r w:rsidRPr="00F6170A">
        <w:rPr>
          <w:lang w:val="ru-RU"/>
        </w:rPr>
        <w:t xml:space="preserve">Джилиан Демпстер (Новая Зеландия) были избраны сопредседателями </w:t>
      </w:r>
      <w:r w:rsidR="00095100">
        <w:rPr>
          <w:lang w:val="ru-RU"/>
        </w:rPr>
        <w:t>Э</w:t>
      </w:r>
      <w:r w:rsidRPr="00F6170A">
        <w:rPr>
          <w:lang w:val="ru-RU"/>
        </w:rPr>
        <w:t>кспертной группы, а г-н Мпатсо Каманга (Малави) был избран Докладчиком для двух совещаний.</w:t>
      </w:r>
    </w:p>
    <w:p w14:paraId="1F2256D0" w14:textId="18FCC2F6" w:rsidR="00F6170A" w:rsidRPr="00F6170A" w:rsidRDefault="00F6170A" w:rsidP="00F6170A">
      <w:pPr>
        <w:spacing w:after="120"/>
        <w:ind w:left="1247"/>
        <w:rPr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</w:r>
      <w:r w:rsidRPr="00F6170A">
        <w:rPr>
          <w:lang w:val="ru-RU"/>
        </w:rPr>
        <w:t>В справочно-информационном документе для обоих совещаний, озаглавленном «Борьба с морским пластиковым мусором и микрочастицами пластмасс: оценка эффективности соответствующих международных, региональных и субрегиональных стратегий и подходов в сфере регулирования – резюме для директивных органов» (</w:t>
      </w:r>
      <w:r w:rsidRPr="00BA0D47">
        <w:t>UNEP</w:t>
      </w:r>
      <w:r w:rsidRPr="00F6170A">
        <w:rPr>
          <w:lang w:val="ru-RU"/>
        </w:rPr>
        <w:t>/</w:t>
      </w:r>
      <w:r w:rsidRPr="00BA0D47">
        <w:t>AHEG</w:t>
      </w:r>
      <w:r w:rsidRPr="00F6170A">
        <w:rPr>
          <w:lang w:val="ru-RU"/>
        </w:rPr>
        <w:t>/2018/1/</w:t>
      </w:r>
      <w:r w:rsidRPr="00BA0D47">
        <w:t>INF</w:t>
      </w:r>
      <w:r w:rsidRPr="00F6170A">
        <w:rPr>
          <w:lang w:val="ru-RU"/>
        </w:rPr>
        <w:t>/3), приводится оценка эффективности существующей нормативно-правовой базы для борьбы с морским мусором и микрочастицами пластмасс. В нем также определяются имеющиеся в этой нормативно-правовой базе пробелы и варианты их устранения.</w:t>
      </w:r>
    </w:p>
    <w:p w14:paraId="03693312" w14:textId="61196581" w:rsidR="00F6170A" w:rsidRPr="00F6170A" w:rsidRDefault="00F6170A" w:rsidP="00F6170A">
      <w:pPr>
        <w:spacing w:after="120"/>
        <w:ind w:left="1247"/>
        <w:rPr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</w:r>
      <w:r w:rsidRPr="00F6170A">
        <w:rPr>
          <w:lang w:val="ru-RU"/>
        </w:rPr>
        <w:t>Для первого совещания секретариат подготовил четыре дискуссионных документа о препятствиях для борьбы с морским мусором и микрочастицами пластмасс, включая проблемы, связанные с ресурсами в развивающихся странах (</w:t>
      </w:r>
      <w:r w:rsidRPr="00BA0D47">
        <w:t>UNEP</w:t>
      </w:r>
      <w:r w:rsidRPr="00F6170A">
        <w:rPr>
          <w:lang w:val="ru-RU"/>
        </w:rPr>
        <w:t>/</w:t>
      </w:r>
      <w:r w:rsidRPr="00BA0D47">
        <w:t>AHEG</w:t>
      </w:r>
      <w:r w:rsidRPr="00F6170A">
        <w:rPr>
          <w:lang w:val="ru-RU"/>
        </w:rPr>
        <w:t>/2018/1/2); о национальных, региональных и международных вариантах реагирования, включая мероприятия и инновационные подходы, а также добровольные и имеющие обязательную юридическую силу стратегии и подходы в сфере регулирования (</w:t>
      </w:r>
      <w:r w:rsidRPr="00BA0D47">
        <w:t>UNEP</w:t>
      </w:r>
      <w:r w:rsidRPr="00F6170A">
        <w:rPr>
          <w:lang w:val="ru-RU"/>
        </w:rPr>
        <w:t>/</w:t>
      </w:r>
      <w:r w:rsidRPr="00BA0D47">
        <w:t>AHEG</w:t>
      </w:r>
      <w:r w:rsidRPr="00F6170A">
        <w:rPr>
          <w:lang w:val="ru-RU"/>
        </w:rPr>
        <w:t>/2018/1/3); об экологических, социальных и экономических издержках и выгодах, связанных с различными вариантами реагирования (</w:t>
      </w:r>
      <w:r w:rsidRPr="00BA0D47">
        <w:t>UNEP</w:t>
      </w:r>
      <w:r w:rsidRPr="00F6170A">
        <w:rPr>
          <w:lang w:val="ru-RU"/>
        </w:rPr>
        <w:t>/</w:t>
      </w:r>
      <w:r w:rsidRPr="00BA0D47">
        <w:t>AHEG</w:t>
      </w:r>
      <w:r w:rsidRPr="00F6170A">
        <w:rPr>
          <w:lang w:val="ru-RU"/>
        </w:rPr>
        <w:t>/2018/1/4); и о целесообразности и эффективности различных вариантов реагирования (</w:t>
      </w:r>
      <w:r w:rsidRPr="00BA0D47">
        <w:t>UNEP</w:t>
      </w:r>
      <w:r w:rsidRPr="00F6170A">
        <w:rPr>
          <w:lang w:val="ru-RU"/>
        </w:rPr>
        <w:t>/</w:t>
      </w:r>
      <w:r w:rsidRPr="00BA0D47">
        <w:t>AHEG</w:t>
      </w:r>
      <w:r w:rsidRPr="00F6170A">
        <w:rPr>
          <w:lang w:val="ru-RU"/>
        </w:rPr>
        <w:t>/2018/1/5). Для второго совещания секретариату было предложено объединить эти дискуссионные документы в единый документ (</w:t>
      </w:r>
      <w:r w:rsidRPr="00BA0D47">
        <w:t>UNEP</w:t>
      </w:r>
      <w:r w:rsidRPr="00F6170A">
        <w:rPr>
          <w:lang w:val="ru-RU"/>
        </w:rPr>
        <w:t>/</w:t>
      </w:r>
      <w:r w:rsidRPr="00BA0D47">
        <w:t>AHEG</w:t>
      </w:r>
      <w:r w:rsidRPr="00F6170A">
        <w:rPr>
          <w:lang w:val="ru-RU"/>
        </w:rPr>
        <w:t>/2018/2/2) и представить сводный перечень основных препятствий, изложенных в приложении к указанному документу.</w:t>
      </w:r>
    </w:p>
    <w:p w14:paraId="75D8F448" w14:textId="379F8154" w:rsidR="00F6170A" w:rsidRPr="00F6170A" w:rsidRDefault="00F6170A" w:rsidP="00F6170A">
      <w:pPr>
        <w:spacing w:after="120"/>
        <w:ind w:left="1247"/>
        <w:rPr>
          <w:lang w:val="ru-RU"/>
        </w:rPr>
      </w:pPr>
      <w:r>
        <w:rPr>
          <w:lang w:val="ru-RU"/>
        </w:rPr>
        <w:t>5.</w:t>
      </w:r>
      <w:r>
        <w:rPr>
          <w:lang w:val="ru-RU"/>
        </w:rPr>
        <w:tab/>
      </w:r>
      <w:r w:rsidRPr="00F6170A">
        <w:rPr>
          <w:lang w:val="ru-RU"/>
        </w:rPr>
        <w:t xml:space="preserve">На втором совещании участники рассмотрели результаты первого совещания и провели целенаправленные обсуждения в секционных группах и на пленарном заседании по темам «Информация и мониторинг» и «Регулирование», принимая во внимание вышеупомянутые документы, обсуждения, состоявшиеся на первом совещании, и наводящие вопросы, содержащиеся в документах </w:t>
      </w:r>
      <w:r w:rsidRPr="00BA0D47">
        <w:t>UNEP</w:t>
      </w:r>
      <w:r w:rsidRPr="00F6170A">
        <w:rPr>
          <w:lang w:val="ru-RU"/>
        </w:rPr>
        <w:t>/</w:t>
      </w:r>
      <w:r w:rsidRPr="00BA0D47">
        <w:t>AHEG</w:t>
      </w:r>
      <w:r w:rsidRPr="00F6170A">
        <w:rPr>
          <w:lang w:val="ru-RU"/>
        </w:rPr>
        <w:t xml:space="preserve">/2018/2/3 и </w:t>
      </w:r>
      <w:r w:rsidRPr="00BA0D47">
        <w:t>UNEP</w:t>
      </w:r>
      <w:r w:rsidRPr="00F6170A">
        <w:rPr>
          <w:lang w:val="ru-RU"/>
        </w:rPr>
        <w:t>/</w:t>
      </w:r>
      <w:r w:rsidRPr="00BA0D47">
        <w:t>AHEG</w:t>
      </w:r>
      <w:r w:rsidRPr="00F6170A">
        <w:rPr>
          <w:lang w:val="ru-RU"/>
        </w:rPr>
        <w:t xml:space="preserve">/2018/2/4. </w:t>
      </w:r>
    </w:p>
    <w:p w14:paraId="7273B952" w14:textId="422F20F3" w:rsidR="00AE21DE" w:rsidRPr="005E5E77" w:rsidRDefault="005E5E77" w:rsidP="005E5E77">
      <w:pPr>
        <w:tabs>
          <w:tab w:val="right" w:pos="851"/>
        </w:tabs>
        <w:spacing w:after="120"/>
        <w:ind w:left="1247" w:right="284" w:hanging="1247"/>
        <w:rPr>
          <w:b/>
          <w:sz w:val="28"/>
          <w:szCs w:val="28"/>
          <w:lang w:val="ru-RU"/>
        </w:rPr>
      </w:pPr>
      <w:r w:rsidRPr="00334EBD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>II</w:t>
      </w:r>
      <w:r w:rsidRPr="005E5E77">
        <w:rPr>
          <w:b/>
          <w:sz w:val="28"/>
          <w:szCs w:val="28"/>
          <w:lang w:val="ru-RU"/>
        </w:rPr>
        <w:t>.</w:t>
      </w:r>
      <w:r w:rsidRPr="005E5E77">
        <w:rPr>
          <w:b/>
          <w:sz w:val="28"/>
          <w:szCs w:val="28"/>
          <w:lang w:val="ru-RU"/>
        </w:rPr>
        <w:tab/>
      </w:r>
      <w:r w:rsidR="00AE21DE" w:rsidRPr="005E5E77">
        <w:rPr>
          <w:b/>
          <w:sz w:val="28"/>
          <w:szCs w:val="28"/>
          <w:lang w:val="ru-RU"/>
        </w:rPr>
        <w:t>Рекомендации и предлагаемые меры</w:t>
      </w:r>
    </w:p>
    <w:p w14:paraId="20AE3A2C" w14:textId="3FFAF14C" w:rsidR="00FD73DC" w:rsidRPr="00FD73DC" w:rsidRDefault="00FD73DC" w:rsidP="00FD73DC">
      <w:pPr>
        <w:spacing w:after="120"/>
        <w:ind w:left="1247"/>
        <w:rPr>
          <w:lang w:val="ru-RU"/>
        </w:rPr>
      </w:pPr>
      <w:r>
        <w:rPr>
          <w:lang w:val="ru-RU"/>
        </w:rPr>
        <w:t>6.</w:t>
      </w:r>
      <w:r>
        <w:rPr>
          <w:lang w:val="ru-RU"/>
        </w:rPr>
        <w:tab/>
      </w:r>
      <w:r w:rsidRPr="00FD73DC">
        <w:rPr>
          <w:lang w:val="ru-RU"/>
        </w:rPr>
        <w:t xml:space="preserve">Определенные экспертами возможные варианты продолжения работы для рассмотрения Ассамблеей по окружающей среде излагаются в приложении к настоящему докладу. Дополнительная информация о работе двух совещаний (в том числе доклады о работе совещаний, слайд-шоу и материалы, представленные участниками) имеются по адресу: </w:t>
      </w:r>
      <w:r w:rsidRPr="00BA0D47">
        <w:t>https</w:t>
      </w:r>
      <w:r w:rsidRPr="00FD73DC">
        <w:rPr>
          <w:lang w:val="ru-RU"/>
        </w:rPr>
        <w:t>://</w:t>
      </w:r>
      <w:proofErr w:type="spellStart"/>
      <w:r w:rsidRPr="00BA0D47">
        <w:t>papersmart</w:t>
      </w:r>
      <w:proofErr w:type="spellEnd"/>
      <w:r w:rsidRPr="00FD73DC">
        <w:rPr>
          <w:lang w:val="ru-RU"/>
        </w:rPr>
        <w:t>.</w:t>
      </w:r>
      <w:proofErr w:type="spellStart"/>
      <w:r w:rsidRPr="00BA0D47">
        <w:t>unon</w:t>
      </w:r>
      <w:proofErr w:type="spellEnd"/>
      <w:r w:rsidRPr="00FD73DC">
        <w:rPr>
          <w:lang w:val="ru-RU"/>
        </w:rPr>
        <w:t>.</w:t>
      </w:r>
      <w:r w:rsidRPr="00BA0D47">
        <w:t>org</w:t>
      </w:r>
      <w:r w:rsidRPr="00FD73DC">
        <w:rPr>
          <w:lang w:val="ru-RU"/>
        </w:rPr>
        <w:t>/</w:t>
      </w:r>
      <w:r w:rsidRPr="00BA0D47">
        <w:t>resolution</w:t>
      </w:r>
      <w:r w:rsidRPr="00FD73DC">
        <w:rPr>
          <w:lang w:val="ru-RU"/>
        </w:rPr>
        <w:t>/</w:t>
      </w:r>
      <w:proofErr w:type="spellStart"/>
      <w:r w:rsidRPr="00BA0D47">
        <w:t>adhoc</w:t>
      </w:r>
      <w:proofErr w:type="spellEnd"/>
      <w:r w:rsidRPr="00FD73DC">
        <w:rPr>
          <w:lang w:val="ru-RU"/>
        </w:rPr>
        <w:t>-</w:t>
      </w:r>
      <w:proofErr w:type="spellStart"/>
      <w:r w:rsidRPr="00BA0D47">
        <w:t>oeeg</w:t>
      </w:r>
      <w:proofErr w:type="spellEnd"/>
      <w:r w:rsidRPr="00FD73DC">
        <w:rPr>
          <w:lang w:val="ru-RU"/>
        </w:rPr>
        <w:t>.</w:t>
      </w:r>
    </w:p>
    <w:p w14:paraId="3919E373" w14:textId="42B5F304" w:rsidR="00334EBD" w:rsidRDefault="00FD73DC" w:rsidP="00FD73DC">
      <w:pPr>
        <w:spacing w:after="120"/>
        <w:ind w:left="1247"/>
        <w:rPr>
          <w:lang w:val="ru-RU"/>
        </w:rPr>
        <w:sectPr w:rsidR="00334EBD" w:rsidSect="0009543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907" w:right="992" w:bottom="1418" w:left="1418" w:header="539" w:footer="975" w:gutter="0"/>
          <w:cols w:space="539"/>
          <w:titlePg/>
          <w:docGrid w:linePitch="360"/>
        </w:sectPr>
      </w:pPr>
      <w:r>
        <w:rPr>
          <w:lang w:val="ru-RU"/>
        </w:rPr>
        <w:t>7.</w:t>
      </w:r>
      <w:r>
        <w:rPr>
          <w:lang w:val="ru-RU"/>
        </w:rPr>
        <w:tab/>
      </w:r>
      <w:r w:rsidRPr="00FD73DC">
        <w:rPr>
          <w:lang w:val="ru-RU"/>
        </w:rPr>
        <w:t xml:space="preserve">Ассамблее предлагается определить будущее направление, сроки и ожидаемые результаты работы </w:t>
      </w:r>
      <w:r w:rsidR="00095100">
        <w:rPr>
          <w:lang w:val="ru-RU"/>
        </w:rPr>
        <w:t>Э</w:t>
      </w:r>
      <w:r w:rsidRPr="00FD73DC">
        <w:rPr>
          <w:lang w:val="ru-RU"/>
        </w:rPr>
        <w:t xml:space="preserve">кспертной группы в соответствии с пунктом 10 </w:t>
      </w:r>
      <w:r w:rsidRPr="00BA0D47">
        <w:t>g</w:t>
      </w:r>
      <w:r w:rsidRPr="00FD73DC">
        <w:rPr>
          <w:lang w:val="ru-RU"/>
        </w:rPr>
        <w:t>) резолюции 3/7</w:t>
      </w:r>
      <w:r w:rsidR="00334EBD">
        <w:rPr>
          <w:lang w:val="ru-RU"/>
        </w:rPr>
        <w:t>.</w:t>
      </w:r>
    </w:p>
    <w:p w14:paraId="011331A9" w14:textId="6CEAB71E" w:rsidR="00AE21DE" w:rsidRPr="00334EBD" w:rsidRDefault="00AE21DE" w:rsidP="00334EBD">
      <w:pPr>
        <w:spacing w:after="240"/>
        <w:rPr>
          <w:b/>
          <w:sz w:val="28"/>
          <w:szCs w:val="28"/>
          <w:lang w:val="ru-RU"/>
        </w:rPr>
      </w:pPr>
      <w:r w:rsidRPr="00334EBD">
        <w:rPr>
          <w:b/>
          <w:sz w:val="28"/>
          <w:szCs w:val="28"/>
          <w:lang w:val="ru-RU"/>
        </w:rPr>
        <w:lastRenderedPageBreak/>
        <w:t>Приложение</w:t>
      </w:r>
    </w:p>
    <w:p w14:paraId="5864E255" w14:textId="122C04A6" w:rsidR="00AE21DE" w:rsidRPr="00334EBD" w:rsidRDefault="00AE21DE" w:rsidP="00334EBD">
      <w:pPr>
        <w:spacing w:after="120"/>
        <w:ind w:left="1247" w:right="284"/>
        <w:rPr>
          <w:b/>
          <w:sz w:val="28"/>
          <w:szCs w:val="28"/>
          <w:lang w:val="ru-RU"/>
        </w:rPr>
      </w:pPr>
      <w:r w:rsidRPr="00334EBD">
        <w:rPr>
          <w:b/>
          <w:sz w:val="28"/>
          <w:szCs w:val="28"/>
          <w:lang w:val="ru-RU"/>
        </w:rPr>
        <w:t>Возможные варианты продолжения работы для рассмотрения Ассамблеей Организации Объединенных Наций по окружающей среде</w:t>
      </w:r>
    </w:p>
    <w:p w14:paraId="43DE4500" w14:textId="52455895" w:rsidR="00AA669C" w:rsidRPr="00AA669C" w:rsidRDefault="00AA669C" w:rsidP="00AA669C">
      <w:pPr>
        <w:spacing w:after="120"/>
        <w:ind w:left="1247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</w:r>
      <w:r w:rsidRPr="00AA669C">
        <w:rPr>
          <w:lang w:val="ru-RU"/>
        </w:rPr>
        <w:t>Эксперты Специальной экспертной группы открытого состава по проблеме мусора и микрочастиц пластмасс в морской среде, учрежденной Ассамблеей Организации Объединенных Наций по окружающей среде на ее третьей сессии в декабре 2017 года в соответствии с ее резолюцией 3/7</w:t>
      </w:r>
      <w:r w:rsidRPr="00AA669C">
        <w:rPr>
          <w:vertAlign w:val="superscript"/>
        </w:rPr>
        <w:footnoteReference w:id="4"/>
      </w:r>
      <w:r>
        <w:rPr>
          <w:lang w:val="ru-RU"/>
        </w:rPr>
        <w:t>,</w:t>
      </w:r>
      <w:r w:rsidRPr="00AA669C">
        <w:rPr>
          <w:lang w:val="ru-RU"/>
        </w:rPr>
        <w:t xml:space="preserve"> провели совещания в Найроби 29-31 мая 2018 года и в Женеве 3-7 декабря 2018 года, чтобы дополнительно изучить препятствия и возможности в области борьбы с морским пластиковым мусором и микрочастицами пластмасс из всех источников, особенно из расположенных на суше источников, и представить Ассамблее по окружающей среде на ее четвертой сессии варианты продолжения работы.</w:t>
      </w:r>
    </w:p>
    <w:p w14:paraId="4109F70D" w14:textId="3E80A5BD" w:rsidR="00AA669C" w:rsidRPr="00AA669C" w:rsidRDefault="00AA669C" w:rsidP="00AA669C">
      <w:pPr>
        <w:spacing w:after="120"/>
        <w:ind w:left="1247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</w:r>
      <w:r w:rsidRPr="00AA669C">
        <w:rPr>
          <w:lang w:val="ru-RU"/>
        </w:rPr>
        <w:t>В дополнение к мандату, определенному в резолюции 3/7, в качестве отправной точки для своей работы эксперты рассмотрели резюме для директивных органов, озаглавленное «Борьба с морским пластиковым мусором и микрочастицами пластмасс: оценка эффективности соответствующих международных, региональных и субрегиональных стратегий и подходов в сфере регулирования», которое было представлено на третьей сессии Ассамблеи по окружающей среде (</w:t>
      </w:r>
      <w:r w:rsidRPr="00AE2329">
        <w:t>UNEP</w:t>
      </w:r>
      <w:r w:rsidRPr="00AA669C">
        <w:rPr>
          <w:lang w:val="ru-RU"/>
        </w:rPr>
        <w:t>/</w:t>
      </w:r>
      <w:r w:rsidRPr="00AE2329">
        <w:t>EA</w:t>
      </w:r>
      <w:r w:rsidRPr="00AA669C">
        <w:rPr>
          <w:lang w:val="ru-RU"/>
        </w:rPr>
        <w:t>.3/</w:t>
      </w:r>
      <w:r w:rsidRPr="00AE2329">
        <w:t>INF</w:t>
      </w:r>
      <w:r w:rsidRPr="00AA669C">
        <w:rPr>
          <w:lang w:val="ru-RU"/>
        </w:rPr>
        <w:t>/5). Они также рассмотрели документ, содержащий резюме дискуссионных документов, представленных на их первом совещании, в котором обозначены возможные варианты реагирования и приоритетные области деятельности для реализации вариантов регулирования (</w:t>
      </w:r>
      <w:r w:rsidRPr="00AE2329">
        <w:t>UNEP</w:t>
      </w:r>
      <w:r w:rsidRPr="00AA669C">
        <w:rPr>
          <w:lang w:val="ru-RU"/>
        </w:rPr>
        <w:t>/</w:t>
      </w:r>
      <w:r w:rsidRPr="00AE2329">
        <w:t>AHEG</w:t>
      </w:r>
      <w:r w:rsidRPr="00AA669C">
        <w:rPr>
          <w:lang w:val="ru-RU"/>
        </w:rPr>
        <w:t>/2018/2/2).</w:t>
      </w:r>
    </w:p>
    <w:p w14:paraId="365796B3" w14:textId="5CDB02B1" w:rsidR="00AA669C" w:rsidRPr="00AA669C" w:rsidRDefault="00AA669C" w:rsidP="00AA669C">
      <w:pPr>
        <w:spacing w:after="120"/>
        <w:ind w:left="1247"/>
        <w:rPr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</w:r>
      <w:r w:rsidRPr="00AA669C">
        <w:rPr>
          <w:lang w:val="ru-RU"/>
        </w:rPr>
        <w:t>В ходе семинаров-практикумов и пленарных заседаний эксперты, включая представителей государств, гражданского общества и частного сектора, высказывали различные мнения относительно научно обоснованных доказательств воздействия морского мусора и микрочастиц пластмасс на здоровье человека и окружающую среду и относительно вариантов наиболее эффективного и устойчивого решения проблем такого воздействия с учетом интересов всех заинтересованных и затрагиваемых сторон.</w:t>
      </w:r>
    </w:p>
    <w:p w14:paraId="593D16DC" w14:textId="61D6E9BF" w:rsidR="00AA669C" w:rsidRPr="00AA669C" w:rsidRDefault="00AA669C" w:rsidP="00AA669C">
      <w:pPr>
        <w:spacing w:after="120"/>
        <w:ind w:left="1247"/>
        <w:rPr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</w:r>
      <w:r w:rsidRPr="00AA669C">
        <w:rPr>
          <w:lang w:val="ru-RU"/>
        </w:rPr>
        <w:t>Эксперты подчеркнули важность уменьшения воздействия морского мусора и микрочастиц пластмасс на наши океаны, на морскую и прибрежную среду, а также на прибрежные сообщества, здоровье человека и экономику.</w:t>
      </w:r>
    </w:p>
    <w:p w14:paraId="17A2DADA" w14:textId="7ED4FF97" w:rsidR="00AA669C" w:rsidRPr="00AA669C" w:rsidRDefault="00AA669C" w:rsidP="00AA669C">
      <w:pPr>
        <w:spacing w:after="120"/>
        <w:ind w:left="1247"/>
        <w:rPr>
          <w:lang w:val="ru-RU"/>
        </w:rPr>
      </w:pPr>
      <w:r>
        <w:rPr>
          <w:lang w:val="ru-RU"/>
        </w:rPr>
        <w:t>5.</w:t>
      </w:r>
      <w:r>
        <w:rPr>
          <w:lang w:val="ru-RU"/>
        </w:rPr>
        <w:tab/>
      </w:r>
      <w:r w:rsidRPr="00AA669C">
        <w:rPr>
          <w:lang w:val="ru-RU"/>
        </w:rPr>
        <w:t>С учетом того, что многие заинтересованные стороны уже проводят множество мероприятий в отношении морского мусора и микрочастиц пластмасс в рамках существующих механизмов регулирования, эксперты отметили полезность изучения потенциала этих механизмов для более комплексного содействия решению проблем морского мусора и микрочастиц пластмасс в рамках их соответствующих мандатов. Многие эксперты также отметили, что для эффективного решения проблемы морского мусора и микрочастиц пластмасс потребуется новое имеющее обязательную юридическую силу соглашение.</w:t>
      </w:r>
    </w:p>
    <w:p w14:paraId="5DB2AA5F" w14:textId="0230BC56" w:rsidR="00AA669C" w:rsidRPr="00AA669C" w:rsidRDefault="00AA669C" w:rsidP="00AA669C">
      <w:pPr>
        <w:spacing w:after="120"/>
        <w:ind w:left="1247"/>
        <w:rPr>
          <w:lang w:val="ru-RU"/>
        </w:rPr>
      </w:pPr>
      <w:r>
        <w:rPr>
          <w:lang w:val="ru-RU"/>
        </w:rPr>
        <w:t>6.</w:t>
      </w:r>
      <w:r>
        <w:rPr>
          <w:lang w:val="ru-RU"/>
        </w:rPr>
        <w:tab/>
      </w:r>
      <w:r w:rsidRPr="00AA669C">
        <w:rPr>
          <w:lang w:val="ru-RU"/>
        </w:rPr>
        <w:t>Необходимо ликвидировать морской мусор и микрочастицы пластмасс, попадающие в морскую среду из расположенных на суше и морских источников, применяя целостный и основанный на фактических данных подход, учитывающий концепцию полного жизненного цикла, для осуществления перехода к ресурсоэффективному регулированию пластмасс на основе замкнутого цикла, не допуская исключений.</w:t>
      </w:r>
    </w:p>
    <w:p w14:paraId="2A3EDBCD" w14:textId="2C66921F" w:rsidR="00AA669C" w:rsidRPr="00AA669C" w:rsidRDefault="00AA669C" w:rsidP="00AA669C">
      <w:pPr>
        <w:spacing w:after="120"/>
        <w:ind w:left="1247"/>
        <w:rPr>
          <w:lang w:val="ru-RU"/>
        </w:rPr>
      </w:pPr>
      <w:r>
        <w:rPr>
          <w:lang w:val="ru-RU"/>
        </w:rPr>
        <w:t>7.</w:t>
      </w:r>
      <w:r>
        <w:rPr>
          <w:lang w:val="ru-RU"/>
        </w:rPr>
        <w:tab/>
      </w:r>
      <w:r w:rsidRPr="00AA669C">
        <w:rPr>
          <w:lang w:val="ru-RU"/>
        </w:rPr>
        <w:t>Предотвращение имеет первостепенное значение и является приоритетной задачей; также крайне важно решать проблемы, связанные с накопленными объемами морского мусора и микрочастиц пластмасс, которые уже присутствуют в окружающей среде.</w:t>
      </w:r>
    </w:p>
    <w:p w14:paraId="4883006B" w14:textId="76F026DC" w:rsidR="00AA669C" w:rsidRPr="00AA669C" w:rsidRDefault="00AA669C" w:rsidP="00AA669C">
      <w:pPr>
        <w:spacing w:after="120"/>
        <w:ind w:left="1247"/>
        <w:rPr>
          <w:lang w:val="ru-RU"/>
        </w:rPr>
      </w:pPr>
      <w:r>
        <w:rPr>
          <w:lang w:val="ru-RU"/>
        </w:rPr>
        <w:t>8.</w:t>
      </w:r>
      <w:r>
        <w:rPr>
          <w:lang w:val="ru-RU"/>
        </w:rPr>
        <w:tab/>
      </w:r>
      <w:r w:rsidRPr="00AA669C">
        <w:rPr>
          <w:lang w:val="ru-RU"/>
        </w:rPr>
        <w:t>Необходимо срочно принимать меры, поскольку наши возможности по повторному использованию, ремонту, переработке, восстановлению, рекуперации и рециркулированию пластиковых отходов и регулированию видов пластиковых отходов ограничены в силу конструктивных особенностей и определенных добавок и отстают от производства пластмасс и потребительского спроса на них, что ставит под угрозу выполнение задачи 14.1 целей в области устойчивого развития (</w:t>
      </w:r>
      <w:r>
        <w:rPr>
          <w:lang w:val="ru-RU"/>
        </w:rPr>
        <w:t>«</w:t>
      </w:r>
      <w:r w:rsidRPr="00AA669C">
        <w:rPr>
          <w:lang w:val="ru-RU"/>
        </w:rPr>
        <w:t>к 2025 году обеспечить предотвращение и существенное сокращение любого загрязнения морской среды, в особенности вследствие деятельности на суше, включая загрязнение морским мусором и питательными веществами</w:t>
      </w:r>
      <w:r>
        <w:rPr>
          <w:lang w:val="ru-RU"/>
        </w:rPr>
        <w:t>»</w:t>
      </w:r>
      <w:r w:rsidRPr="00AA669C">
        <w:rPr>
          <w:lang w:val="ru-RU"/>
        </w:rPr>
        <w:t>).</w:t>
      </w:r>
    </w:p>
    <w:p w14:paraId="64B3E482" w14:textId="77777777" w:rsidR="00AA669C" w:rsidRPr="00AA669C" w:rsidRDefault="00AA669C" w:rsidP="00AA669C">
      <w:pPr>
        <w:spacing w:after="120"/>
        <w:ind w:left="1247"/>
        <w:rPr>
          <w:b/>
          <w:i/>
          <w:lang w:val="ru-RU"/>
        </w:rPr>
      </w:pPr>
      <w:r w:rsidRPr="00AA669C">
        <w:rPr>
          <w:b/>
          <w:i/>
          <w:lang w:val="ru-RU"/>
        </w:rPr>
        <w:lastRenderedPageBreak/>
        <w:t>Возможные варианты продолжения работы</w:t>
      </w:r>
    </w:p>
    <w:p w14:paraId="64522EAF" w14:textId="68631973" w:rsidR="00AA669C" w:rsidRPr="00AA669C" w:rsidRDefault="00AA669C" w:rsidP="00AA669C">
      <w:pPr>
        <w:spacing w:after="120"/>
        <w:ind w:left="1247"/>
        <w:rPr>
          <w:lang w:val="ru-RU"/>
        </w:rPr>
      </w:pPr>
      <w:r>
        <w:rPr>
          <w:lang w:val="ru-RU"/>
        </w:rPr>
        <w:t>9.</w:t>
      </w:r>
      <w:r>
        <w:rPr>
          <w:lang w:val="ru-RU"/>
        </w:rPr>
        <w:tab/>
      </w:r>
      <w:r w:rsidRPr="00AA669C">
        <w:rPr>
          <w:lang w:val="ru-RU"/>
        </w:rPr>
        <w:t>Эксперты согласились с тем, что необходимо укреплять научно-политическое взаимодействие на международном уровне и более активно содействовать применению подходов, основанных на фактических данных, углублять понимание воздействия пластикового мусора на морскую среду и содействовать мероприятиям по ликвидации морского мусора, осуществляемым на местном, национальном, региональном и глобальном уровнях. Были предложены следующие варианты:</w:t>
      </w:r>
    </w:p>
    <w:p w14:paraId="3FD5D926" w14:textId="08D3C161" w:rsidR="00AA669C" w:rsidRPr="00AA669C" w:rsidRDefault="00AA669C" w:rsidP="00AA669C">
      <w:pPr>
        <w:spacing w:after="120"/>
        <w:ind w:left="1247" w:firstLine="624"/>
        <w:rPr>
          <w:lang w:val="ru-RU"/>
        </w:rPr>
      </w:pPr>
      <w:r>
        <w:rPr>
          <w:lang w:val="ru-RU"/>
        </w:rPr>
        <w:t>а)</w:t>
      </w:r>
      <w:r>
        <w:rPr>
          <w:lang w:val="ru-RU"/>
        </w:rPr>
        <w:tab/>
      </w:r>
      <w:r w:rsidRPr="00AA669C">
        <w:rPr>
          <w:lang w:val="ru-RU"/>
        </w:rPr>
        <w:t>изучить варианты создания глобального центра знаний, который мог бы, среди прочего: способствовать разработке согласованных методологий мониторинга; собирать и обобщать и помещать в открытый доступ данные и информацию глобального мониторинга с участием всех субъектов и с использованием всех источников, включая гражданскую науку; обеспечивать доступ к надежным, достоверным научным знаниям и рациональной научной практике, в частности в отношении добавок; разрабатывать руководящие принципы для отбора проб и анализа макро- и микрочастиц пластмасс в морской среде; определять демонстрационные проекты и связи с региональными мероприятиями; и вести каталог участников, инициатив и подходов. Центр знаний мог бы являться инициатором мероприятий, служить источником и информационно-координационным механизмом для составления национальных перечней источников загрязнения, совершенствования методов регулирования отходов и оценки, а также концептуальных и практических инструктивных материалов для оказания содействия правительствам, организациям и частным структурам в решении вопросов предотвращения замусоривания моря и экологически рационального и основанного на оценке рисков восстановления;</w:t>
      </w:r>
    </w:p>
    <w:p w14:paraId="09F85E06" w14:textId="4AC7787C" w:rsidR="00AA669C" w:rsidRPr="00AA669C" w:rsidRDefault="00AA669C" w:rsidP="00AA669C">
      <w:pPr>
        <w:spacing w:after="120"/>
        <w:ind w:left="1247" w:firstLine="624"/>
        <w:rPr>
          <w:lang w:val="ru-RU"/>
        </w:rPr>
      </w:pPr>
      <w:r>
        <w:t>b</w:t>
      </w:r>
      <w:r w:rsidRPr="00AA669C">
        <w:rPr>
          <w:lang w:val="ru-RU"/>
        </w:rPr>
        <w:t>)</w:t>
      </w:r>
      <w:r>
        <w:rPr>
          <w:lang w:val="ru-RU"/>
        </w:rPr>
        <w:tab/>
      </w:r>
      <w:r w:rsidRPr="00AA669C">
        <w:rPr>
          <w:lang w:val="ru-RU"/>
        </w:rPr>
        <w:t xml:space="preserve">рассмотреть вопрос о создании научно-технической консультативной группы по морскому мусору и микрочастицам пластмасс, опираясь на результаты работы существующих механизмов, таких как Объединенная группа экспертов по научным аспектам защиты морской среды; </w:t>
      </w:r>
    </w:p>
    <w:p w14:paraId="183BD024" w14:textId="24BE3422" w:rsidR="00AA669C" w:rsidRPr="00AA669C" w:rsidRDefault="00AA669C" w:rsidP="00AA669C">
      <w:pPr>
        <w:spacing w:after="120"/>
        <w:ind w:left="1247" w:firstLine="624"/>
        <w:rPr>
          <w:lang w:val="ru-RU"/>
        </w:rPr>
      </w:pPr>
      <w:r>
        <w:rPr>
          <w:lang w:val="ru-RU"/>
        </w:rPr>
        <w:t>с)</w:t>
      </w:r>
      <w:r>
        <w:rPr>
          <w:lang w:val="ru-RU"/>
        </w:rPr>
        <w:tab/>
      </w:r>
      <w:r w:rsidRPr="00AA669C">
        <w:rPr>
          <w:lang w:val="ru-RU"/>
        </w:rPr>
        <w:t xml:space="preserve">изучить возможность проведения межведомственного анализа медицинских и экологических аспектов в отношении морского мусора и микрочастиц пластмасс и пластмасс с использованием подхода </w:t>
      </w:r>
      <w:r w:rsidR="006C7434">
        <w:rPr>
          <w:lang w:val="ru-RU"/>
        </w:rPr>
        <w:t>«</w:t>
      </w:r>
      <w:r w:rsidRPr="00AA669C">
        <w:rPr>
          <w:lang w:val="ru-RU"/>
        </w:rPr>
        <w:t xml:space="preserve">источник </w:t>
      </w:r>
      <w:r w:rsidR="006C7434">
        <w:rPr>
          <w:lang w:val="ru-RU"/>
        </w:rPr>
        <w:t>–</w:t>
      </w:r>
      <w:r w:rsidRPr="00AA669C">
        <w:rPr>
          <w:lang w:val="ru-RU"/>
        </w:rPr>
        <w:t xml:space="preserve"> морская среда</w:t>
      </w:r>
      <w:r w:rsidR="006C7434">
        <w:rPr>
          <w:lang w:val="ru-RU"/>
        </w:rPr>
        <w:t>»</w:t>
      </w:r>
      <w:r w:rsidRPr="00AA669C">
        <w:rPr>
          <w:lang w:val="ru-RU"/>
        </w:rPr>
        <w:t>, а также анализа издержек и выгод в связи с переходом к другим видам деятельности;</w:t>
      </w:r>
    </w:p>
    <w:p w14:paraId="49ACC540" w14:textId="5D4C2A4D" w:rsidR="00AA669C" w:rsidRPr="00AA669C" w:rsidRDefault="00AA669C" w:rsidP="00AA669C">
      <w:pPr>
        <w:spacing w:after="120"/>
        <w:ind w:left="1247" w:firstLine="624"/>
        <w:rPr>
          <w:lang w:val="ru-RU"/>
        </w:rPr>
      </w:pPr>
      <w:r>
        <w:t>d</w:t>
      </w:r>
      <w:r w:rsidRPr="00AA669C">
        <w:rPr>
          <w:lang w:val="ru-RU"/>
        </w:rPr>
        <w:t>)</w:t>
      </w:r>
      <w:r>
        <w:rPr>
          <w:lang w:val="ru-RU"/>
        </w:rPr>
        <w:tab/>
        <w:t>р</w:t>
      </w:r>
      <w:r w:rsidRPr="00AA669C">
        <w:rPr>
          <w:lang w:val="ru-RU"/>
        </w:rPr>
        <w:t>ассмотреть вопрос о составлении справочника о соответствующих отраслевых инициативах, как существующих, так и планируемых, в том числе по вопросам проектирования продукции, стандартам, инновациям, объемам производства и добавкам, в целях повышения прозрачности и калибровки возможностей для партнерства, а также примеров мероприятий, осуществляемых в настоящее время на национальном уровне, таких как расширенная ответственность производителей (ОРП), в дополнение к такому справочнику.</w:t>
      </w:r>
    </w:p>
    <w:p w14:paraId="04180FBB" w14:textId="7CC160D7" w:rsidR="00AA669C" w:rsidRPr="00AA669C" w:rsidRDefault="00AA669C" w:rsidP="00AA669C">
      <w:pPr>
        <w:spacing w:after="120"/>
        <w:ind w:left="1247"/>
        <w:rPr>
          <w:lang w:val="ru-RU"/>
        </w:rPr>
      </w:pPr>
      <w:r>
        <w:rPr>
          <w:lang w:val="ru-RU"/>
        </w:rPr>
        <w:t>10.</w:t>
      </w:r>
      <w:r>
        <w:rPr>
          <w:lang w:val="ru-RU"/>
        </w:rPr>
        <w:tab/>
      </w:r>
      <w:r w:rsidRPr="00AA669C">
        <w:rPr>
          <w:lang w:val="ru-RU"/>
        </w:rPr>
        <w:t>Эксперты обсудили различные варианты и подходы для улучшения координации и регулирования. Они определили ряд принципов, которыми следует руководствоваться в последующей деятельности в этой области, включая следующее: меры реагирования на проблему морского мусора и микрочастиц пластмасс должны быть согласованы с Повесткой дня в области устойчивого развития на период до 2030 года и ее целями в области устойчивого развития. Для достижения эффективных результатов необходимо наличие политической воли. Информация и исследования являются важнейшими факторами, обеспечивающими достижение поставленной цели. Общий подход должен быть всеобъемлющим и целостным, транспарентным и основанным на фактических данных. Он должен учитывать морские и расположенные на суше источники, концепцию безотходной экономики и подход, основанный на полном жизненном цикле. Он должен быть нацелен на ликвидацию и предотвращение образования пластиковых отходов и морского мусора и должен включать незамедлительные и устойчивые долгосрочные меры. Он должен опираться и полагаться на: научно-политическое взаимодействие; международное сотрудничество; привлечение различных заинтересованных сторон; реалии различий в условиях и (технических/финансовых) возможностях, существующих на региональном и местном уровн</w:t>
      </w:r>
      <w:r w:rsidR="006C7434">
        <w:rPr>
          <w:lang w:val="ru-RU"/>
        </w:rPr>
        <w:t>ях</w:t>
      </w:r>
      <w:r w:rsidRPr="00AA669C">
        <w:rPr>
          <w:lang w:val="ru-RU"/>
        </w:rPr>
        <w:t>.</w:t>
      </w:r>
    </w:p>
    <w:p w14:paraId="2A20267E" w14:textId="2A75AFF3" w:rsidR="00AA669C" w:rsidRPr="00AA669C" w:rsidRDefault="00AA669C" w:rsidP="00AA669C">
      <w:pPr>
        <w:spacing w:after="120"/>
        <w:ind w:left="1247"/>
        <w:rPr>
          <w:lang w:val="ru-RU"/>
        </w:rPr>
      </w:pPr>
      <w:r>
        <w:rPr>
          <w:lang w:val="ru-RU"/>
        </w:rPr>
        <w:t>11.</w:t>
      </w:r>
      <w:r>
        <w:rPr>
          <w:lang w:val="ru-RU"/>
        </w:rPr>
        <w:tab/>
      </w:r>
      <w:r w:rsidRPr="00AA669C">
        <w:rPr>
          <w:lang w:val="ru-RU"/>
        </w:rPr>
        <w:t>Предлагаются следующие варианты совершенствования координации и регулирования, которые, тем не менее, не являются взаимоисключающими и могут быть изучены параллельно:</w:t>
      </w:r>
    </w:p>
    <w:p w14:paraId="2E717409" w14:textId="1D667209" w:rsidR="00AA669C" w:rsidRPr="00AA669C" w:rsidRDefault="00AA669C" w:rsidP="00AA669C">
      <w:pPr>
        <w:spacing w:after="120"/>
        <w:ind w:left="1247" w:firstLine="624"/>
        <w:rPr>
          <w:lang w:val="ru-RU"/>
        </w:rPr>
      </w:pPr>
      <w:r>
        <w:rPr>
          <w:lang w:val="ru-RU"/>
        </w:rPr>
        <w:t>а)</w:t>
      </w:r>
      <w:r>
        <w:rPr>
          <w:lang w:val="ru-RU"/>
        </w:rPr>
        <w:tab/>
      </w:r>
      <w:r w:rsidRPr="00AA669C">
        <w:rPr>
          <w:lang w:val="ru-RU"/>
        </w:rPr>
        <w:t xml:space="preserve">рассмотреть вопрос об усилении координации на глобальном уровне через существующие партнерства и механизмы, занимающиеся проблемой морского мусора и смежными вопросами, такие как Глобальное партнерство по морскому мусору и Стратегический подход к международному регулированию химических веществ, и о </w:t>
      </w:r>
      <w:r w:rsidRPr="00AA669C">
        <w:rPr>
          <w:lang w:val="ru-RU"/>
        </w:rPr>
        <w:lastRenderedPageBreak/>
        <w:t>расширении их сферы охвата; и при необходимости рассмотреть целесообразность и эффективность возможного создания новой координационной структуры на основе существующих инициатив;</w:t>
      </w:r>
    </w:p>
    <w:p w14:paraId="517D42F4" w14:textId="60687028" w:rsidR="00AA669C" w:rsidRPr="00AA669C" w:rsidRDefault="00AA669C" w:rsidP="00AA669C">
      <w:pPr>
        <w:spacing w:after="120"/>
        <w:ind w:left="1247" w:firstLine="624"/>
        <w:rPr>
          <w:lang w:val="ru-RU"/>
        </w:rPr>
      </w:pPr>
      <w:r>
        <w:t>b</w:t>
      </w:r>
      <w:r w:rsidRPr="00AA669C">
        <w:rPr>
          <w:lang w:val="ru-RU"/>
        </w:rPr>
        <w:t>)</w:t>
      </w:r>
      <w:r>
        <w:rPr>
          <w:lang w:val="ru-RU"/>
        </w:rPr>
        <w:tab/>
      </w:r>
      <w:r w:rsidRPr="00AA669C">
        <w:rPr>
          <w:lang w:val="ru-RU"/>
        </w:rPr>
        <w:t xml:space="preserve">улучшить координацию на региональном уровне, особенно с существующими международными инструментами, такими как программы </w:t>
      </w:r>
      <w:r w:rsidR="006C7434">
        <w:rPr>
          <w:lang w:val="ru-RU"/>
        </w:rPr>
        <w:t xml:space="preserve">по </w:t>
      </w:r>
      <w:r w:rsidRPr="00AA669C">
        <w:rPr>
          <w:lang w:val="ru-RU"/>
        </w:rPr>
        <w:t>региональны</w:t>
      </w:r>
      <w:r w:rsidR="006C7434">
        <w:rPr>
          <w:lang w:val="ru-RU"/>
        </w:rPr>
        <w:t>м</w:t>
      </w:r>
      <w:r w:rsidRPr="00AA669C">
        <w:rPr>
          <w:lang w:val="ru-RU"/>
        </w:rPr>
        <w:t xml:space="preserve"> мор</w:t>
      </w:r>
      <w:r w:rsidR="006C7434">
        <w:rPr>
          <w:lang w:val="ru-RU"/>
        </w:rPr>
        <w:t>ям</w:t>
      </w:r>
      <w:r w:rsidRPr="00AA669C">
        <w:rPr>
          <w:lang w:val="ru-RU"/>
        </w:rPr>
        <w:t>, с региональными органами по рыболовству и комитетами, ведающими водосборными бассейнами рек;</w:t>
      </w:r>
    </w:p>
    <w:p w14:paraId="4D7E61A2" w14:textId="4BDCCBE1" w:rsidR="00AA669C" w:rsidRPr="00AA669C" w:rsidRDefault="00AA669C" w:rsidP="00AA669C">
      <w:pPr>
        <w:spacing w:after="120"/>
        <w:ind w:left="1247" w:firstLine="624"/>
        <w:rPr>
          <w:lang w:val="ru-RU"/>
        </w:rPr>
      </w:pPr>
      <w:r>
        <w:rPr>
          <w:lang w:val="ru-RU"/>
        </w:rPr>
        <w:t>с)</w:t>
      </w:r>
      <w:r>
        <w:rPr>
          <w:lang w:val="ru-RU"/>
        </w:rPr>
        <w:tab/>
      </w:r>
      <w:r w:rsidRPr="00AA669C">
        <w:rPr>
          <w:lang w:val="ru-RU"/>
        </w:rPr>
        <w:t>содействовать применению новых и расширению существующих форм финансирования и технической поддержки развивающихся стран и малых островных развивающихся государств; оказывать помощь правительствам и другим структурам в получении доступа к имеющимся ресурсам из различных источников для деятельности, связанной с проблемой морского мусора; и выявлять потребности и возможности с оказанием соответствующей поддержки в области создания потенциала, например, в развивающихся странах, малых островных развивающихся государствах и местных общинах;</w:t>
      </w:r>
    </w:p>
    <w:p w14:paraId="04745946" w14:textId="1C93797A" w:rsidR="00AA669C" w:rsidRPr="00AA669C" w:rsidRDefault="00AA669C" w:rsidP="00AA669C">
      <w:pPr>
        <w:spacing w:after="120"/>
        <w:ind w:left="1247" w:firstLine="624"/>
        <w:rPr>
          <w:lang w:val="ru-RU"/>
        </w:rPr>
      </w:pPr>
      <w:r>
        <w:t>d</w:t>
      </w:r>
      <w:r w:rsidRPr="00AA669C">
        <w:rPr>
          <w:lang w:val="ru-RU"/>
        </w:rPr>
        <w:t>)</w:t>
      </w:r>
      <w:r>
        <w:rPr>
          <w:lang w:val="ru-RU"/>
        </w:rPr>
        <w:tab/>
      </w:r>
      <w:r w:rsidRPr="00AA669C">
        <w:rPr>
          <w:lang w:val="ru-RU"/>
        </w:rPr>
        <w:t>рассмотреть целесообразность и эффективность возможного имеющего обязательную юридическую силу международного соглашения по морскому мусору и микрочастицам пластмасс в морской среде;</w:t>
      </w:r>
    </w:p>
    <w:p w14:paraId="7E918899" w14:textId="1D0FAA9D" w:rsidR="00AA669C" w:rsidRPr="00AA669C" w:rsidRDefault="00AA669C" w:rsidP="00AA669C">
      <w:pPr>
        <w:spacing w:after="120"/>
        <w:ind w:left="1247" w:firstLine="624"/>
        <w:rPr>
          <w:lang w:val="ru-RU"/>
        </w:rPr>
      </w:pPr>
      <w:r>
        <w:rPr>
          <w:lang w:val="ru-RU"/>
        </w:rPr>
        <w:t>е)</w:t>
      </w:r>
      <w:r>
        <w:rPr>
          <w:lang w:val="ru-RU"/>
        </w:rPr>
        <w:tab/>
      </w:r>
      <w:r w:rsidRPr="00AA669C">
        <w:rPr>
          <w:lang w:val="ru-RU"/>
        </w:rPr>
        <w:t>рассмотреть вопрос о создании форума, позволяющего правительствам, промышленным и научным кругам, гражданскому обществу и другим заинтересованным сторонам обмениваться опытом и координировать действия на регулярной или специальной основе.</w:t>
      </w:r>
    </w:p>
    <w:p w14:paraId="3032624C" w14:textId="19E453FD" w:rsidR="00AA669C" w:rsidRPr="00AA669C" w:rsidRDefault="001C154C" w:rsidP="00AA669C">
      <w:pPr>
        <w:spacing w:after="120"/>
        <w:ind w:left="1247"/>
        <w:rPr>
          <w:lang w:val="ru-RU"/>
        </w:rPr>
      </w:pPr>
      <w:r>
        <w:rPr>
          <w:lang w:val="ru-RU"/>
        </w:rPr>
        <w:t>1</w:t>
      </w:r>
      <w:r w:rsidR="006C7434">
        <w:rPr>
          <w:lang w:val="ru-RU"/>
        </w:rPr>
        <w:t>2</w:t>
      </w:r>
      <w:r>
        <w:rPr>
          <w:lang w:val="ru-RU"/>
        </w:rPr>
        <w:t>.</w:t>
      </w:r>
      <w:r>
        <w:rPr>
          <w:lang w:val="ru-RU"/>
        </w:rPr>
        <w:tab/>
      </w:r>
      <w:r w:rsidR="00AA669C" w:rsidRPr="00AA669C">
        <w:rPr>
          <w:lang w:val="ru-RU"/>
        </w:rPr>
        <w:t>Были высказаны неоднозначные мнения относительно целесообразности создания временной координационной структуры для обеспечения эффективной последующей деятельности по итогам четвертой сессии Ассамблеи по окружающей среде в связи с просьбой, содержащейся в пункте 10 резолюции 3/7, и с вышеизложенным предложением.</w:t>
      </w:r>
    </w:p>
    <w:p w14:paraId="05AB2CD7" w14:textId="534770E7" w:rsidR="001409C7" w:rsidRPr="00AA669C" w:rsidRDefault="001C154C" w:rsidP="001C154C">
      <w:pPr>
        <w:spacing w:after="120"/>
        <w:ind w:left="1248"/>
        <w:rPr>
          <w:lang w:val="ru-RU"/>
        </w:rPr>
      </w:pPr>
      <w:r>
        <w:rPr>
          <w:lang w:val="ru-RU"/>
        </w:rPr>
        <w:t>1</w:t>
      </w:r>
      <w:r w:rsidR="006C7434">
        <w:rPr>
          <w:lang w:val="ru-RU"/>
        </w:rPr>
        <w:t>3</w:t>
      </w:r>
      <w:r>
        <w:rPr>
          <w:lang w:val="ru-RU"/>
        </w:rPr>
        <w:t>.</w:t>
      </w:r>
      <w:r>
        <w:rPr>
          <w:lang w:val="ru-RU"/>
        </w:rPr>
        <w:tab/>
      </w:r>
      <w:r w:rsidR="00AA669C" w:rsidRPr="00AA669C">
        <w:rPr>
          <w:lang w:val="ru-RU"/>
        </w:rPr>
        <w:t xml:space="preserve">Более подробная информация о различных состоявшихся обсуждениях содержится в докладах о работе первого и второго совещаний Специальной группы экспертов, которые имеются по адресу: </w:t>
      </w:r>
      <w:r w:rsidR="00AA669C" w:rsidRPr="00AE2329">
        <w:t>https</w:t>
      </w:r>
      <w:r w:rsidR="00AA669C" w:rsidRPr="00AA669C">
        <w:rPr>
          <w:lang w:val="ru-RU"/>
        </w:rPr>
        <w:t>://</w:t>
      </w:r>
      <w:proofErr w:type="spellStart"/>
      <w:r w:rsidR="00AA669C" w:rsidRPr="00AE2329">
        <w:t>papersmart</w:t>
      </w:r>
      <w:proofErr w:type="spellEnd"/>
      <w:r w:rsidR="00AA669C" w:rsidRPr="00AA669C">
        <w:rPr>
          <w:lang w:val="ru-RU"/>
        </w:rPr>
        <w:t>.</w:t>
      </w:r>
      <w:proofErr w:type="spellStart"/>
      <w:r w:rsidR="00AA669C" w:rsidRPr="00AE2329">
        <w:t>unon</w:t>
      </w:r>
      <w:proofErr w:type="spellEnd"/>
      <w:r w:rsidR="00AA669C" w:rsidRPr="00AA669C">
        <w:rPr>
          <w:lang w:val="ru-RU"/>
        </w:rPr>
        <w:t>.</w:t>
      </w:r>
      <w:r w:rsidR="00AA669C" w:rsidRPr="00AE2329">
        <w:t>org</w:t>
      </w:r>
      <w:r w:rsidR="00AA669C" w:rsidRPr="00AA669C">
        <w:rPr>
          <w:lang w:val="ru-RU"/>
        </w:rPr>
        <w:t>/</w:t>
      </w:r>
      <w:r w:rsidR="00AA669C" w:rsidRPr="00AE2329">
        <w:t>resolution</w:t>
      </w:r>
      <w:r w:rsidR="00AA669C" w:rsidRPr="00AA669C">
        <w:rPr>
          <w:lang w:val="ru-RU"/>
        </w:rPr>
        <w:t>/</w:t>
      </w:r>
      <w:proofErr w:type="spellStart"/>
      <w:r w:rsidR="00AA669C" w:rsidRPr="00AE2329">
        <w:t>adhoc</w:t>
      </w:r>
      <w:proofErr w:type="spellEnd"/>
      <w:r w:rsidR="00AA669C" w:rsidRPr="00AA669C">
        <w:rPr>
          <w:lang w:val="ru-RU"/>
        </w:rPr>
        <w:t>-</w:t>
      </w:r>
      <w:proofErr w:type="spellStart"/>
      <w:r w:rsidR="00AA669C" w:rsidRPr="00AE2329">
        <w:t>oeeg</w:t>
      </w:r>
      <w:proofErr w:type="spellEnd"/>
      <w:r w:rsidR="00AA669C" w:rsidRPr="00AA669C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  <w:gridCol w:w="1898"/>
      </w:tblGrid>
      <w:tr w:rsidR="002D2748" w:rsidRPr="00C96E8D" w14:paraId="5482D8CB" w14:textId="77777777" w:rsidTr="002D2748">
        <w:tc>
          <w:tcPr>
            <w:tcW w:w="1897" w:type="dxa"/>
          </w:tcPr>
          <w:p w14:paraId="56C05AAB" w14:textId="77777777" w:rsidR="002D2748" w:rsidRDefault="002D2748" w:rsidP="001409C7">
            <w:pPr>
              <w:spacing w:after="120"/>
              <w:rPr>
                <w:lang w:val="ru-RU"/>
              </w:rPr>
            </w:pPr>
          </w:p>
        </w:tc>
        <w:tc>
          <w:tcPr>
            <w:tcW w:w="1897" w:type="dxa"/>
          </w:tcPr>
          <w:p w14:paraId="2C634330" w14:textId="77777777" w:rsidR="002D2748" w:rsidRDefault="002D2748" w:rsidP="001409C7">
            <w:pPr>
              <w:spacing w:after="120"/>
              <w:rPr>
                <w:lang w:val="ru-RU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771565F2" w14:textId="77777777" w:rsidR="002D2748" w:rsidRDefault="002D2748" w:rsidP="002D2748">
            <w:pPr>
              <w:spacing w:before="360" w:after="120"/>
              <w:rPr>
                <w:lang w:val="ru-RU"/>
              </w:rPr>
            </w:pPr>
          </w:p>
        </w:tc>
        <w:tc>
          <w:tcPr>
            <w:tcW w:w="1897" w:type="dxa"/>
          </w:tcPr>
          <w:p w14:paraId="0AF4E922" w14:textId="77777777" w:rsidR="002D2748" w:rsidRDefault="002D2748" w:rsidP="001409C7">
            <w:pPr>
              <w:spacing w:after="120"/>
              <w:rPr>
                <w:lang w:val="ru-RU"/>
              </w:rPr>
            </w:pPr>
          </w:p>
        </w:tc>
        <w:tc>
          <w:tcPr>
            <w:tcW w:w="1898" w:type="dxa"/>
          </w:tcPr>
          <w:p w14:paraId="70A06656" w14:textId="77777777" w:rsidR="002D2748" w:rsidRDefault="002D2748" w:rsidP="001409C7">
            <w:pPr>
              <w:spacing w:after="120"/>
              <w:rPr>
                <w:lang w:val="ru-RU"/>
              </w:rPr>
            </w:pPr>
          </w:p>
        </w:tc>
      </w:tr>
    </w:tbl>
    <w:p w14:paraId="1389CB10" w14:textId="77777777" w:rsidR="001409C7" w:rsidRDefault="001409C7" w:rsidP="001409C7">
      <w:pPr>
        <w:spacing w:after="120"/>
        <w:rPr>
          <w:lang w:val="ru-RU"/>
        </w:rPr>
      </w:pPr>
    </w:p>
    <w:sectPr w:rsidR="001409C7" w:rsidSect="00334EBD">
      <w:footnotePr>
        <w:numRestart w:val="eachSect"/>
      </w:footnotePr>
      <w:pgSz w:w="11906" w:h="16838" w:code="9"/>
      <w:pgMar w:top="907" w:right="992" w:bottom="1418" w:left="1418" w:header="539" w:footer="975" w:gutter="0"/>
      <w:cols w:space="53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862CA" w14:textId="77777777" w:rsidR="00012688" w:rsidRDefault="00012688">
      <w:r>
        <w:separator/>
      </w:r>
    </w:p>
  </w:endnote>
  <w:endnote w:type="continuationSeparator" w:id="0">
    <w:p w14:paraId="7B64D59B" w14:textId="77777777" w:rsidR="00012688" w:rsidRDefault="0001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BB5CF" w14:textId="6B51770A" w:rsidR="00431BBF" w:rsidRDefault="00431BBF" w:rsidP="00455F0E">
    <w:pPr>
      <w:pStyle w:val="Footer"/>
      <w:tabs>
        <w:tab w:val="clear" w:pos="4320"/>
        <w:tab w:val="clear" w:pos="864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125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A4FB" w14:textId="461F80DF" w:rsidR="00431BBF" w:rsidRDefault="00431BBF" w:rsidP="00256D2A">
    <w:pPr>
      <w:pStyle w:val="Footer"/>
      <w:tabs>
        <w:tab w:val="clear" w:pos="4320"/>
        <w:tab w:val="clear" w:pos="8640"/>
      </w:tabs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125C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5DCC" w14:textId="7989D717" w:rsidR="00256D2A" w:rsidRPr="001409C7" w:rsidRDefault="00431BBF" w:rsidP="00256D2A">
    <w:pPr>
      <w:spacing w:before="60" w:after="120"/>
    </w:pPr>
    <w:r>
      <w:rPr>
        <w:lang w:val="ru-RU"/>
      </w:rPr>
      <w:t>K1</w:t>
    </w:r>
    <w:r w:rsidR="001409C7">
      <w:t>8</w:t>
    </w:r>
    <w:r>
      <w:rPr>
        <w:lang w:val="ru-RU"/>
      </w:rPr>
      <w:t>0</w:t>
    </w:r>
    <w:r w:rsidR="001C16C4">
      <w:t>416</w:t>
    </w:r>
    <w:r w:rsidR="00256D2A">
      <w:rPr>
        <w:lang w:val="en-US"/>
      </w:rPr>
      <w:t>9</w:t>
    </w:r>
    <w:r>
      <w:rPr>
        <w:lang w:val="en-US"/>
      </w:rPr>
      <w:t xml:space="preserve">      </w:t>
    </w:r>
    <w:r w:rsidR="001C16C4">
      <w:rPr>
        <w:lang w:val="en-US"/>
      </w:rPr>
      <w:t>28</w:t>
    </w:r>
    <w:r w:rsidR="001409C7">
      <w:rPr>
        <w:lang w:val="en-US"/>
      </w:rPr>
      <w:t>0</w:t>
    </w:r>
    <w:r w:rsidR="00256D2A">
      <w:rPr>
        <w:lang w:val="en-US"/>
      </w:rPr>
      <w:t>1</w:t>
    </w:r>
    <w:r>
      <w:rPr>
        <w:lang w:val="ru-RU"/>
      </w:rPr>
      <w:t>1</w:t>
    </w:r>
    <w:r w:rsidR="001409C7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D4CD7" w14:textId="77777777" w:rsidR="00012688" w:rsidRDefault="00012688">
      <w:pPr>
        <w:tabs>
          <w:tab w:val="left" w:pos="624"/>
        </w:tabs>
        <w:spacing w:before="60"/>
        <w:ind w:left="624"/>
        <w:rPr>
          <w:sz w:val="18"/>
          <w:szCs w:val="18"/>
        </w:rPr>
      </w:pPr>
      <w:r>
        <w:rPr>
          <w:sz w:val="18"/>
          <w:szCs w:val="18"/>
        </w:rPr>
        <w:separator/>
      </w:r>
    </w:p>
  </w:footnote>
  <w:footnote w:type="continuationSeparator" w:id="0">
    <w:p w14:paraId="302D3940" w14:textId="77777777" w:rsidR="00012688" w:rsidRDefault="00012688">
      <w:r>
        <w:continuationSeparator/>
      </w:r>
    </w:p>
  </w:footnote>
  <w:footnote w:id="1">
    <w:p w14:paraId="39196A65" w14:textId="58FA1084" w:rsidR="00720913" w:rsidRPr="00AA669C" w:rsidRDefault="00720913" w:rsidP="00AA669C">
      <w:pPr>
        <w:pStyle w:val="FootnoteText"/>
        <w:rPr>
          <w:szCs w:val="18"/>
        </w:rPr>
      </w:pPr>
      <w:r w:rsidRPr="00AA669C">
        <w:rPr>
          <w:rStyle w:val="FootnoteReference"/>
          <w:sz w:val="18"/>
          <w:vertAlign w:val="baseline"/>
        </w:rPr>
        <w:t>*</w:t>
      </w:r>
      <w:r w:rsidRPr="00AA669C">
        <w:rPr>
          <w:rStyle w:val="FootnoteReference"/>
          <w:sz w:val="18"/>
          <w:vertAlign w:val="baseline"/>
        </w:rPr>
        <w:tab/>
        <w:t>UNEP/EA.4/1</w:t>
      </w:r>
      <w:r w:rsidR="001C16C4" w:rsidRPr="00AA669C">
        <w:rPr>
          <w:szCs w:val="18"/>
        </w:rPr>
        <w:t>/Rev.1</w:t>
      </w:r>
      <w:r w:rsidRPr="00AA669C">
        <w:rPr>
          <w:szCs w:val="18"/>
        </w:rPr>
        <w:t>.</w:t>
      </w:r>
    </w:p>
  </w:footnote>
  <w:footnote w:id="2">
    <w:p w14:paraId="3C186F86" w14:textId="413A5328" w:rsidR="00F6170A" w:rsidRPr="00095100" w:rsidRDefault="00F6170A" w:rsidP="00AA669C">
      <w:pPr>
        <w:pStyle w:val="NormalNonumber"/>
        <w:spacing w:before="20" w:after="40"/>
        <w:rPr>
          <w:sz w:val="18"/>
          <w:szCs w:val="18"/>
        </w:rPr>
      </w:pPr>
      <w:r w:rsidRPr="00AA669C">
        <w:rPr>
          <w:rStyle w:val="FootnoteReference"/>
          <w:sz w:val="18"/>
        </w:rPr>
        <w:footnoteRef/>
      </w:r>
      <w:r w:rsidR="00AA669C" w:rsidRPr="00095100">
        <w:rPr>
          <w:sz w:val="18"/>
          <w:szCs w:val="18"/>
        </w:rPr>
        <w:tab/>
      </w:r>
      <w:r w:rsidRPr="00AA669C">
        <w:rPr>
          <w:sz w:val="18"/>
          <w:szCs w:val="18"/>
          <w:lang w:val="en-US"/>
        </w:rPr>
        <w:t>UNEP</w:t>
      </w:r>
      <w:r w:rsidRPr="00095100">
        <w:rPr>
          <w:sz w:val="18"/>
          <w:szCs w:val="18"/>
        </w:rPr>
        <w:t>/</w:t>
      </w:r>
      <w:r w:rsidRPr="00AA669C">
        <w:rPr>
          <w:sz w:val="18"/>
          <w:szCs w:val="18"/>
          <w:lang w:val="en-US"/>
        </w:rPr>
        <w:t>EA</w:t>
      </w:r>
      <w:r w:rsidRPr="00095100">
        <w:rPr>
          <w:sz w:val="18"/>
          <w:szCs w:val="18"/>
        </w:rPr>
        <w:t>.3/</w:t>
      </w:r>
      <w:r w:rsidRPr="00AA669C">
        <w:rPr>
          <w:sz w:val="18"/>
          <w:szCs w:val="18"/>
          <w:lang w:val="en-US"/>
        </w:rPr>
        <w:t>Res</w:t>
      </w:r>
      <w:r w:rsidRPr="00095100">
        <w:rPr>
          <w:sz w:val="18"/>
          <w:szCs w:val="18"/>
        </w:rPr>
        <w:t>.7.</w:t>
      </w:r>
    </w:p>
  </w:footnote>
  <w:footnote w:id="3">
    <w:p w14:paraId="1F205795" w14:textId="25D9078E" w:rsidR="00F6170A" w:rsidRPr="00AA669C" w:rsidRDefault="00F6170A" w:rsidP="00AA669C">
      <w:pPr>
        <w:pStyle w:val="NormalNonumber"/>
        <w:spacing w:before="20" w:after="40"/>
        <w:rPr>
          <w:sz w:val="18"/>
          <w:szCs w:val="18"/>
          <w:lang w:val="ru-RU"/>
        </w:rPr>
      </w:pPr>
      <w:r w:rsidRPr="00AA669C">
        <w:rPr>
          <w:rStyle w:val="FootnoteReference"/>
          <w:sz w:val="18"/>
          <w:lang w:val="ru-RU"/>
        </w:rPr>
        <w:footnoteRef/>
      </w:r>
      <w:r w:rsidR="00AA669C" w:rsidRPr="00AA669C">
        <w:rPr>
          <w:sz w:val="18"/>
          <w:szCs w:val="18"/>
          <w:lang w:val="ru-RU"/>
        </w:rPr>
        <w:tab/>
      </w:r>
      <w:r w:rsidRPr="00AA669C">
        <w:rPr>
          <w:sz w:val="18"/>
          <w:szCs w:val="18"/>
          <w:lang w:val="ru-RU"/>
        </w:rPr>
        <w:t>С материалами, имеющими отношение к этим двум совещаниям, можно ознакомиться по адресу: https://papersmart.unon.org/resolution/adhoc-oeeg.</w:t>
      </w:r>
    </w:p>
  </w:footnote>
  <w:footnote w:id="4">
    <w:p w14:paraId="349B202C" w14:textId="3813E047" w:rsidR="00AA669C" w:rsidRPr="00FC3A00" w:rsidRDefault="00AA669C" w:rsidP="00FC3A00">
      <w:pPr>
        <w:pStyle w:val="NormalNonumber"/>
        <w:spacing w:before="20" w:after="40"/>
        <w:rPr>
          <w:sz w:val="18"/>
          <w:szCs w:val="18"/>
        </w:rPr>
      </w:pPr>
      <w:r w:rsidRPr="00FC3A00">
        <w:rPr>
          <w:rStyle w:val="FootnoteReference"/>
          <w:sz w:val="18"/>
          <w:lang w:val="ru-RU"/>
        </w:rPr>
        <w:footnoteRef/>
      </w:r>
      <w:r w:rsidR="00FC3A00" w:rsidRPr="00FC3A00">
        <w:rPr>
          <w:sz w:val="18"/>
          <w:szCs w:val="18"/>
          <w:lang w:val="ru-RU"/>
        </w:rPr>
        <w:tab/>
      </w:r>
      <w:r w:rsidRPr="00FC3A00">
        <w:rPr>
          <w:sz w:val="18"/>
          <w:szCs w:val="18"/>
          <w:lang w:val="ru-RU"/>
        </w:rPr>
        <w:t>UNEP/EA.3/Res.7.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A929" w14:textId="785BD6F5" w:rsidR="00455F0E" w:rsidRPr="00455F0E" w:rsidRDefault="00455F0E" w:rsidP="00455F0E">
    <w:pPr>
      <w:pStyle w:val="Header"/>
      <w:tabs>
        <w:tab w:val="clear" w:pos="4536"/>
        <w:tab w:val="clear" w:pos="9072"/>
      </w:tabs>
      <w:rPr>
        <w:rFonts w:eastAsia="Times New Roman"/>
        <w:szCs w:val="18"/>
        <w:lang w:val="en-US"/>
      </w:rPr>
    </w:pPr>
    <w:r>
      <w:rPr>
        <w:szCs w:val="18"/>
        <w:lang w:val="en-US"/>
      </w:rPr>
      <w:t>UNEP/EA.</w:t>
    </w:r>
    <w:r w:rsidR="00C004F2">
      <w:rPr>
        <w:szCs w:val="18"/>
        <w:lang w:val="en-US"/>
      </w:rPr>
      <w:t>4</w:t>
    </w:r>
    <w:r>
      <w:rPr>
        <w:szCs w:val="18"/>
        <w:lang w:val="en-US"/>
      </w:rPr>
      <w:t>/1</w:t>
    </w:r>
    <w:r w:rsidR="001C16C4">
      <w:rPr>
        <w:szCs w:val="18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0CDBA" w14:textId="506AD1D6" w:rsidR="00455F0E" w:rsidRPr="00455F0E" w:rsidRDefault="00455F0E" w:rsidP="00455F0E">
    <w:pPr>
      <w:pStyle w:val="Header"/>
      <w:tabs>
        <w:tab w:val="clear" w:pos="4536"/>
        <w:tab w:val="clear" w:pos="9072"/>
      </w:tabs>
      <w:jc w:val="right"/>
      <w:rPr>
        <w:rFonts w:eastAsia="Times New Roman"/>
        <w:szCs w:val="18"/>
        <w:lang w:val="en-US"/>
      </w:rPr>
    </w:pPr>
    <w:r>
      <w:rPr>
        <w:szCs w:val="18"/>
        <w:lang w:val="en-US"/>
      </w:rPr>
      <w:t>UNEP/EA.</w:t>
    </w:r>
    <w:r w:rsidR="00C004F2">
      <w:rPr>
        <w:szCs w:val="18"/>
        <w:lang w:val="en-US"/>
      </w:rPr>
      <w:t>4</w:t>
    </w:r>
    <w:r>
      <w:rPr>
        <w:szCs w:val="18"/>
        <w:lang w:val="en-US"/>
      </w:rPr>
      <w:t>/1</w:t>
    </w:r>
    <w:r w:rsidR="001C16C4">
      <w:rPr>
        <w:szCs w:val="18"/>
        <w:lang w:val="en-US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9789B" w14:textId="77777777" w:rsidR="00431BBF" w:rsidRDefault="00431BB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6361F06"/>
    <w:lvl w:ilvl="0">
      <w:start w:val="1"/>
      <w:numFmt w:val="decimal"/>
      <w:lvlText w:val="%1."/>
      <w:lvlJc w:val="left"/>
      <w:pPr>
        <w:tabs>
          <w:tab w:val="num" w:pos="3826"/>
        </w:tabs>
        <w:ind w:left="3826" w:hanging="360"/>
      </w:pPr>
    </w:lvl>
  </w:abstractNum>
  <w:abstractNum w:abstractNumId="1" w15:restartNumberingAfterBreak="0">
    <w:nsid w:val="FFFFFF7D"/>
    <w:multiLevelType w:val="singleLevel"/>
    <w:tmpl w:val="3662D4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24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D01F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2A7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328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2C4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C4D6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6A0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85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C6981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0CBD647A"/>
    <w:multiLevelType w:val="hybridMultilevel"/>
    <w:tmpl w:val="BFC8F32C"/>
    <w:lvl w:ilvl="0" w:tplc="695EDA4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2685253"/>
    <w:multiLevelType w:val="hybridMultilevel"/>
    <w:tmpl w:val="244E0C74"/>
    <w:lvl w:ilvl="0" w:tplc="695EDA4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148D24A2"/>
    <w:multiLevelType w:val="hybridMultilevel"/>
    <w:tmpl w:val="3E76C9F2"/>
    <w:lvl w:ilvl="0" w:tplc="B3C62E8C">
      <w:start w:val="3"/>
      <w:numFmt w:val="upperLetter"/>
      <w:lvlText w:val="%1."/>
      <w:lvlJc w:val="left"/>
      <w:pPr>
        <w:tabs>
          <w:tab w:val="num" w:pos="1242"/>
        </w:tabs>
        <w:ind w:left="1242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152A22B2"/>
    <w:multiLevelType w:val="hybridMultilevel"/>
    <w:tmpl w:val="A10A66D0"/>
    <w:lvl w:ilvl="0" w:tplc="C318E702">
      <w:start w:val="1"/>
      <w:numFmt w:val="decimal"/>
      <w:lvlText w:val="%1"/>
      <w:lvlJc w:val="right"/>
      <w:pPr>
        <w:tabs>
          <w:tab w:val="num" w:pos="1146"/>
        </w:tabs>
        <w:ind w:left="1146" w:hanging="720"/>
      </w:pPr>
      <w:rPr>
        <w:rFonts w:ascii="Times New Roman" w:hAnsi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171113A7"/>
    <w:multiLevelType w:val="multilevel"/>
    <w:tmpl w:val="48241D10"/>
    <w:numStyleLink w:val="Normallist"/>
  </w:abstractNum>
  <w:abstractNum w:abstractNumId="16" w15:restartNumberingAfterBreak="0">
    <w:nsid w:val="1B571867"/>
    <w:multiLevelType w:val="singleLevel"/>
    <w:tmpl w:val="A2E252AA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1DA33D8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9D92754"/>
    <w:multiLevelType w:val="hybridMultilevel"/>
    <w:tmpl w:val="ECBA1E6C"/>
    <w:lvl w:ilvl="0" w:tplc="695EDA4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2C3B0D05"/>
    <w:multiLevelType w:val="hybridMultilevel"/>
    <w:tmpl w:val="C0227916"/>
    <w:lvl w:ilvl="0" w:tplc="FFFFFFFF">
      <w:start w:val="1"/>
      <w:numFmt w:val="upperLetter"/>
      <w:lvlText w:val="%1."/>
      <w:lvlJc w:val="left"/>
      <w:pPr>
        <w:tabs>
          <w:tab w:val="num" w:pos="1239"/>
        </w:tabs>
        <w:ind w:left="1239" w:hanging="6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0" w15:restartNumberingAfterBreak="0">
    <w:nsid w:val="35571603"/>
    <w:multiLevelType w:val="singleLevel"/>
    <w:tmpl w:val="2868AC2A"/>
    <w:lvl w:ilvl="0">
      <w:start w:val="6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9E121E8"/>
    <w:multiLevelType w:val="hybridMultilevel"/>
    <w:tmpl w:val="66786336"/>
    <w:lvl w:ilvl="0" w:tplc="24BC89C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D6749"/>
    <w:multiLevelType w:val="multilevel"/>
    <w:tmpl w:val="6C6ABE72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3DC2761C"/>
    <w:multiLevelType w:val="multilevel"/>
    <w:tmpl w:val="244E0C7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42FA2D6F"/>
    <w:multiLevelType w:val="multilevel"/>
    <w:tmpl w:val="8DA8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1B2525"/>
    <w:multiLevelType w:val="hybridMultilevel"/>
    <w:tmpl w:val="052CB816"/>
    <w:lvl w:ilvl="0" w:tplc="D8D64CD6">
      <w:start w:val="1"/>
      <w:numFmt w:val="upperLetter"/>
      <w:lvlText w:val="%1."/>
      <w:lvlJc w:val="left"/>
      <w:pPr>
        <w:tabs>
          <w:tab w:val="num" w:pos="1242"/>
        </w:tabs>
        <w:ind w:left="1242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51C413F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2A66A9D"/>
    <w:multiLevelType w:val="multilevel"/>
    <w:tmpl w:val="48241D10"/>
    <w:styleLink w:val="Normallist"/>
    <w:lvl w:ilvl="0">
      <w:start w:val="1"/>
      <w:numFmt w:val="decimal"/>
      <w:pStyle w:val="Normalnumber"/>
      <w:lvlText w:val="%1."/>
      <w:lvlJc w:val="left"/>
      <w:pPr>
        <w:tabs>
          <w:tab w:val="num" w:pos="567"/>
        </w:tabs>
        <w:ind w:left="124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24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294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351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48"/>
        </w:tabs>
        <w:ind w:left="6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68"/>
        </w:tabs>
        <w:ind w:left="72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88"/>
        </w:tabs>
        <w:ind w:left="79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708"/>
        </w:tabs>
        <w:ind w:left="87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428"/>
        </w:tabs>
        <w:ind w:left="9428" w:hanging="180"/>
      </w:pPr>
      <w:rPr>
        <w:rFonts w:hint="default"/>
      </w:rPr>
    </w:lvl>
  </w:abstractNum>
  <w:abstractNum w:abstractNumId="28" w15:restartNumberingAfterBreak="0">
    <w:nsid w:val="5ADB42A4"/>
    <w:multiLevelType w:val="hybridMultilevel"/>
    <w:tmpl w:val="814E2BDA"/>
    <w:lvl w:ilvl="0" w:tplc="2D4E6FEE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6A8779C7"/>
    <w:multiLevelType w:val="multilevel"/>
    <w:tmpl w:val="ECBA1E6C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6CD901C9"/>
    <w:multiLevelType w:val="hybridMultilevel"/>
    <w:tmpl w:val="6C6ABE72"/>
    <w:lvl w:ilvl="0" w:tplc="695EDA4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6E4C3BBB"/>
    <w:multiLevelType w:val="multilevel"/>
    <w:tmpl w:val="BFC8F32C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74B22DF7"/>
    <w:multiLevelType w:val="hybridMultilevel"/>
    <w:tmpl w:val="0A06C2EA"/>
    <w:lvl w:ilvl="0" w:tplc="EF8C842C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7443D92"/>
    <w:multiLevelType w:val="hybridMultilevel"/>
    <w:tmpl w:val="154C4DB0"/>
    <w:lvl w:ilvl="0" w:tplc="D53AA31C">
      <w:start w:val="3"/>
      <w:numFmt w:val="decimal"/>
      <w:lvlText w:val="%1."/>
      <w:lvlJc w:val="left"/>
      <w:pPr>
        <w:tabs>
          <w:tab w:val="num" w:pos="1242"/>
        </w:tabs>
        <w:ind w:left="1242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0"/>
  </w:num>
  <w:num w:numId="16">
    <w:abstractNumId w:val="27"/>
  </w:num>
  <w:num w:numId="17">
    <w:abstractNumId w:val="27"/>
  </w:num>
  <w:num w:numId="18">
    <w:abstractNumId w:val="27"/>
  </w:num>
  <w:num w:numId="19">
    <w:abstractNumId w:val="32"/>
  </w:num>
  <w:num w:numId="20">
    <w:abstractNumId w:val="13"/>
  </w:num>
  <w:num w:numId="21">
    <w:abstractNumId w:val="33"/>
  </w:num>
  <w:num w:numId="22">
    <w:abstractNumId w:val="28"/>
  </w:num>
  <w:num w:numId="23">
    <w:abstractNumId w:val="25"/>
  </w:num>
  <w:num w:numId="24">
    <w:abstractNumId w:val="27"/>
  </w:num>
  <w:num w:numId="25">
    <w:abstractNumId w:val="27"/>
  </w:num>
  <w:num w:numId="26">
    <w:abstractNumId w:val="24"/>
  </w:num>
  <w:num w:numId="27">
    <w:abstractNumId w:val="14"/>
  </w:num>
  <w:num w:numId="28">
    <w:abstractNumId w:val="12"/>
  </w:num>
  <w:num w:numId="29">
    <w:abstractNumId w:val="23"/>
  </w:num>
  <w:num w:numId="30">
    <w:abstractNumId w:val="30"/>
  </w:num>
  <w:num w:numId="31">
    <w:abstractNumId w:val="22"/>
  </w:num>
  <w:num w:numId="32">
    <w:abstractNumId w:val="18"/>
  </w:num>
  <w:num w:numId="33">
    <w:abstractNumId w:val="29"/>
  </w:num>
  <w:num w:numId="34">
    <w:abstractNumId w:val="11"/>
  </w:num>
  <w:num w:numId="35">
    <w:abstractNumId w:val="31"/>
  </w:num>
  <w:num w:numId="36">
    <w:abstractNumId w:val="19"/>
  </w:num>
  <w:num w:numId="37">
    <w:abstractNumId w:val="15"/>
  </w:num>
  <w:num w:numId="38">
    <w:abstractNumId w:val="21"/>
    <w:lvlOverride w:ilvl="0">
      <w:lvl w:ilvl="0" w:tplc="24BC89C8">
        <w:start w:val="3"/>
        <w:numFmt w:val="decimal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n-GB" w:vendorID="64" w:dllVersion="0" w:nlCheck="1" w:checkStyle="1"/>
  <w:activeWritingStyle w:appName="MSWord" w:lang="es-ES" w:vendorID="64" w:dllVersion="0" w:nlCheck="1" w:checkStyle="1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624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6A"/>
    <w:rsid w:val="000041D9"/>
    <w:rsid w:val="00012688"/>
    <w:rsid w:val="000149E6"/>
    <w:rsid w:val="00015A2E"/>
    <w:rsid w:val="000247B0"/>
    <w:rsid w:val="00026997"/>
    <w:rsid w:val="00033E0B"/>
    <w:rsid w:val="00035EDE"/>
    <w:rsid w:val="000509B4"/>
    <w:rsid w:val="000600AC"/>
    <w:rsid w:val="00071886"/>
    <w:rsid w:val="000742BC"/>
    <w:rsid w:val="00076EB7"/>
    <w:rsid w:val="00081997"/>
    <w:rsid w:val="00082A0C"/>
    <w:rsid w:val="00095100"/>
    <w:rsid w:val="00095434"/>
    <w:rsid w:val="0009640C"/>
    <w:rsid w:val="000A0A04"/>
    <w:rsid w:val="000B06F6"/>
    <w:rsid w:val="000D33C0"/>
    <w:rsid w:val="000E09D2"/>
    <w:rsid w:val="000F03DD"/>
    <w:rsid w:val="001202E3"/>
    <w:rsid w:val="0013059D"/>
    <w:rsid w:val="001409C7"/>
    <w:rsid w:val="00141A55"/>
    <w:rsid w:val="001559C9"/>
    <w:rsid w:val="001633C8"/>
    <w:rsid w:val="00181EC8"/>
    <w:rsid w:val="00184349"/>
    <w:rsid w:val="00194CD8"/>
    <w:rsid w:val="001C154C"/>
    <w:rsid w:val="001C16C4"/>
    <w:rsid w:val="001D3874"/>
    <w:rsid w:val="001D7E75"/>
    <w:rsid w:val="001E0C96"/>
    <w:rsid w:val="001E56D2"/>
    <w:rsid w:val="001E7D56"/>
    <w:rsid w:val="001F75DE"/>
    <w:rsid w:val="00200D58"/>
    <w:rsid w:val="002013BE"/>
    <w:rsid w:val="002063A4"/>
    <w:rsid w:val="0021145B"/>
    <w:rsid w:val="00222F56"/>
    <w:rsid w:val="00230E08"/>
    <w:rsid w:val="00245A39"/>
    <w:rsid w:val="00247707"/>
    <w:rsid w:val="0025448F"/>
    <w:rsid w:val="00256D2A"/>
    <w:rsid w:val="00286740"/>
    <w:rsid w:val="002929D8"/>
    <w:rsid w:val="002A237D"/>
    <w:rsid w:val="002A4C53"/>
    <w:rsid w:val="002A6864"/>
    <w:rsid w:val="002C0384"/>
    <w:rsid w:val="002C145D"/>
    <w:rsid w:val="002C2C3E"/>
    <w:rsid w:val="002C533E"/>
    <w:rsid w:val="002D027F"/>
    <w:rsid w:val="002D2748"/>
    <w:rsid w:val="002D27E9"/>
    <w:rsid w:val="002D7B60"/>
    <w:rsid w:val="002F4761"/>
    <w:rsid w:val="00310479"/>
    <w:rsid w:val="0031413F"/>
    <w:rsid w:val="00334662"/>
    <w:rsid w:val="00334EBD"/>
    <w:rsid w:val="00355EA9"/>
    <w:rsid w:val="003751F8"/>
    <w:rsid w:val="00381B5F"/>
    <w:rsid w:val="00385731"/>
    <w:rsid w:val="00393911"/>
    <w:rsid w:val="00396257"/>
    <w:rsid w:val="00397EB8"/>
    <w:rsid w:val="003A4FD0"/>
    <w:rsid w:val="003A69D1"/>
    <w:rsid w:val="003B0491"/>
    <w:rsid w:val="003B1545"/>
    <w:rsid w:val="003C409D"/>
    <w:rsid w:val="003F0E85"/>
    <w:rsid w:val="00410C55"/>
    <w:rsid w:val="00417725"/>
    <w:rsid w:val="00425EDB"/>
    <w:rsid w:val="00431BBF"/>
    <w:rsid w:val="00437F26"/>
    <w:rsid w:val="00454769"/>
    <w:rsid w:val="00455F0E"/>
    <w:rsid w:val="00466991"/>
    <w:rsid w:val="0047064C"/>
    <w:rsid w:val="00474592"/>
    <w:rsid w:val="00482908"/>
    <w:rsid w:val="00495F41"/>
    <w:rsid w:val="004C5C96"/>
    <w:rsid w:val="004D06A4"/>
    <w:rsid w:val="004E233D"/>
    <w:rsid w:val="004F1A81"/>
    <w:rsid w:val="005218D9"/>
    <w:rsid w:val="0052196F"/>
    <w:rsid w:val="00536186"/>
    <w:rsid w:val="00560655"/>
    <w:rsid w:val="00565068"/>
    <w:rsid w:val="00570266"/>
    <w:rsid w:val="0057315F"/>
    <w:rsid w:val="0057784F"/>
    <w:rsid w:val="00577D45"/>
    <w:rsid w:val="005A5F05"/>
    <w:rsid w:val="005B03D2"/>
    <w:rsid w:val="005C67C8"/>
    <w:rsid w:val="005D0249"/>
    <w:rsid w:val="005E5E77"/>
    <w:rsid w:val="005F0BEA"/>
    <w:rsid w:val="005F100C"/>
    <w:rsid w:val="00614089"/>
    <w:rsid w:val="006303B4"/>
    <w:rsid w:val="00634572"/>
    <w:rsid w:val="00641703"/>
    <w:rsid w:val="006431A6"/>
    <w:rsid w:val="006501AD"/>
    <w:rsid w:val="00651BFA"/>
    <w:rsid w:val="00683F83"/>
    <w:rsid w:val="00691236"/>
    <w:rsid w:val="00692E2A"/>
    <w:rsid w:val="006A76F2"/>
    <w:rsid w:val="006C5351"/>
    <w:rsid w:val="006C7434"/>
    <w:rsid w:val="006E6722"/>
    <w:rsid w:val="006E67FD"/>
    <w:rsid w:val="006F0E34"/>
    <w:rsid w:val="00701D3F"/>
    <w:rsid w:val="007027B9"/>
    <w:rsid w:val="007121AA"/>
    <w:rsid w:val="00712298"/>
    <w:rsid w:val="00715E88"/>
    <w:rsid w:val="00717149"/>
    <w:rsid w:val="00720913"/>
    <w:rsid w:val="00734CAA"/>
    <w:rsid w:val="00743065"/>
    <w:rsid w:val="00746F3F"/>
    <w:rsid w:val="00757581"/>
    <w:rsid w:val="007648D5"/>
    <w:rsid w:val="0079631D"/>
    <w:rsid w:val="007A5B9C"/>
    <w:rsid w:val="007A5C12"/>
    <w:rsid w:val="007A6FC4"/>
    <w:rsid w:val="007B30E8"/>
    <w:rsid w:val="007D5CFF"/>
    <w:rsid w:val="007E003F"/>
    <w:rsid w:val="00822830"/>
    <w:rsid w:val="00830E26"/>
    <w:rsid w:val="00843576"/>
    <w:rsid w:val="00843B64"/>
    <w:rsid w:val="008673B6"/>
    <w:rsid w:val="00867BFF"/>
    <w:rsid w:val="00872F35"/>
    <w:rsid w:val="0088480A"/>
    <w:rsid w:val="008957DD"/>
    <w:rsid w:val="00897D98"/>
    <w:rsid w:val="008A6DF2"/>
    <w:rsid w:val="008C2D6E"/>
    <w:rsid w:val="008D7C99"/>
    <w:rsid w:val="008E0FCB"/>
    <w:rsid w:val="008F5852"/>
    <w:rsid w:val="00901265"/>
    <w:rsid w:val="00903FE2"/>
    <w:rsid w:val="0092178C"/>
    <w:rsid w:val="0094179A"/>
    <w:rsid w:val="0094459E"/>
    <w:rsid w:val="00944DBC"/>
    <w:rsid w:val="00950977"/>
    <w:rsid w:val="009564A6"/>
    <w:rsid w:val="009578F9"/>
    <w:rsid w:val="00970D27"/>
    <w:rsid w:val="009724A4"/>
    <w:rsid w:val="009774AF"/>
    <w:rsid w:val="0099519B"/>
    <w:rsid w:val="009B0608"/>
    <w:rsid w:val="009B153B"/>
    <w:rsid w:val="009B4A0F"/>
    <w:rsid w:val="009D0B63"/>
    <w:rsid w:val="00A0524B"/>
    <w:rsid w:val="00A122C5"/>
    <w:rsid w:val="00A1348D"/>
    <w:rsid w:val="00A161B4"/>
    <w:rsid w:val="00A232EE"/>
    <w:rsid w:val="00A44411"/>
    <w:rsid w:val="00A469FA"/>
    <w:rsid w:val="00A55B01"/>
    <w:rsid w:val="00A56B5B"/>
    <w:rsid w:val="00A657DD"/>
    <w:rsid w:val="00A666A6"/>
    <w:rsid w:val="00A80611"/>
    <w:rsid w:val="00A82018"/>
    <w:rsid w:val="00AA669C"/>
    <w:rsid w:val="00AB4624"/>
    <w:rsid w:val="00AB5340"/>
    <w:rsid w:val="00AC7C96"/>
    <w:rsid w:val="00AE21DE"/>
    <w:rsid w:val="00AE237D"/>
    <w:rsid w:val="00AF7C07"/>
    <w:rsid w:val="00B251E1"/>
    <w:rsid w:val="00B405B7"/>
    <w:rsid w:val="00B46BD8"/>
    <w:rsid w:val="00B578BB"/>
    <w:rsid w:val="00B66901"/>
    <w:rsid w:val="00B71E6D"/>
    <w:rsid w:val="00B72070"/>
    <w:rsid w:val="00B779E1"/>
    <w:rsid w:val="00B93E73"/>
    <w:rsid w:val="00BA1A67"/>
    <w:rsid w:val="00BA3BB0"/>
    <w:rsid w:val="00BB0A2E"/>
    <w:rsid w:val="00BB1705"/>
    <w:rsid w:val="00BD069D"/>
    <w:rsid w:val="00BD2874"/>
    <w:rsid w:val="00BD5500"/>
    <w:rsid w:val="00C004F2"/>
    <w:rsid w:val="00C01B2A"/>
    <w:rsid w:val="00C30C63"/>
    <w:rsid w:val="00C558DA"/>
    <w:rsid w:val="00C61F87"/>
    <w:rsid w:val="00C70835"/>
    <w:rsid w:val="00C84759"/>
    <w:rsid w:val="00C85606"/>
    <w:rsid w:val="00C910B2"/>
    <w:rsid w:val="00C96E8D"/>
    <w:rsid w:val="00CA17D9"/>
    <w:rsid w:val="00CA6C7F"/>
    <w:rsid w:val="00CA7805"/>
    <w:rsid w:val="00CB101E"/>
    <w:rsid w:val="00CC10A6"/>
    <w:rsid w:val="00CC25D6"/>
    <w:rsid w:val="00CC766A"/>
    <w:rsid w:val="00CD7044"/>
    <w:rsid w:val="00CE524C"/>
    <w:rsid w:val="00CF141F"/>
    <w:rsid w:val="00CF4777"/>
    <w:rsid w:val="00D02CD1"/>
    <w:rsid w:val="00D11D18"/>
    <w:rsid w:val="00D169AF"/>
    <w:rsid w:val="00D25249"/>
    <w:rsid w:val="00D44172"/>
    <w:rsid w:val="00D63B8C"/>
    <w:rsid w:val="00D739CC"/>
    <w:rsid w:val="00D748BF"/>
    <w:rsid w:val="00D8093D"/>
    <w:rsid w:val="00D8108C"/>
    <w:rsid w:val="00D842AE"/>
    <w:rsid w:val="00D86CB4"/>
    <w:rsid w:val="00D9211C"/>
    <w:rsid w:val="00DA1BCA"/>
    <w:rsid w:val="00DC17F1"/>
    <w:rsid w:val="00DC46FF"/>
    <w:rsid w:val="00DD1A4F"/>
    <w:rsid w:val="00DD7C2C"/>
    <w:rsid w:val="00DF0EFD"/>
    <w:rsid w:val="00DF27E7"/>
    <w:rsid w:val="00E06797"/>
    <w:rsid w:val="00E17634"/>
    <w:rsid w:val="00E21C83"/>
    <w:rsid w:val="00E276DF"/>
    <w:rsid w:val="00E357CC"/>
    <w:rsid w:val="00E46D9A"/>
    <w:rsid w:val="00E47183"/>
    <w:rsid w:val="00E565FF"/>
    <w:rsid w:val="00E65388"/>
    <w:rsid w:val="00E85B7D"/>
    <w:rsid w:val="00E9121B"/>
    <w:rsid w:val="00EA39E5"/>
    <w:rsid w:val="00EB6C81"/>
    <w:rsid w:val="00EC5A46"/>
    <w:rsid w:val="00EC63E2"/>
    <w:rsid w:val="00EE024D"/>
    <w:rsid w:val="00EF22B3"/>
    <w:rsid w:val="00F113DA"/>
    <w:rsid w:val="00F30AD8"/>
    <w:rsid w:val="00F31C62"/>
    <w:rsid w:val="00F332BC"/>
    <w:rsid w:val="00F37DC8"/>
    <w:rsid w:val="00F42092"/>
    <w:rsid w:val="00F60D7A"/>
    <w:rsid w:val="00F6170A"/>
    <w:rsid w:val="00F650C3"/>
    <w:rsid w:val="00F7155A"/>
    <w:rsid w:val="00F77E98"/>
    <w:rsid w:val="00F8091E"/>
    <w:rsid w:val="00F8615C"/>
    <w:rsid w:val="00F918AB"/>
    <w:rsid w:val="00FA10EA"/>
    <w:rsid w:val="00FA2593"/>
    <w:rsid w:val="00FB7E48"/>
    <w:rsid w:val="00FC3A00"/>
    <w:rsid w:val="00FD125C"/>
    <w:rsid w:val="00FD5860"/>
    <w:rsid w:val="00FD73DC"/>
    <w:rsid w:val="00FE352D"/>
    <w:rsid w:val="00FE3BD2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80A1F8"/>
  <w15:docId w15:val="{342C0618-59B8-4F48-9033-0A099362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aliases w:val="Normal-pool"/>
    <w:qFormat/>
    <w:rsid w:val="00CC766A"/>
    <w:rPr>
      <w:rFonts w:eastAsia="Calibri"/>
      <w:szCs w:val="22"/>
      <w:lang w:val="en-GB"/>
    </w:rPr>
  </w:style>
  <w:style w:type="paragraph" w:styleId="Heading1">
    <w:name w:val="heading 1"/>
    <w:basedOn w:val="Normal"/>
    <w:next w:val="Normalnumber"/>
    <w:qFormat/>
    <w:rsid w:val="00B405B7"/>
    <w:pPr>
      <w:keepNext/>
      <w:spacing w:before="240" w:after="120"/>
      <w:ind w:left="1247" w:hanging="680"/>
      <w:outlineLvl w:val="0"/>
    </w:pPr>
    <w:rPr>
      <w:b/>
      <w:sz w:val="28"/>
    </w:rPr>
  </w:style>
  <w:style w:type="paragraph" w:styleId="Heading2">
    <w:name w:val="heading 2"/>
    <w:basedOn w:val="Normal"/>
    <w:next w:val="Normalnumber"/>
    <w:qFormat/>
    <w:rsid w:val="00B405B7"/>
    <w:pPr>
      <w:keepNext/>
      <w:spacing w:before="240" w:after="120"/>
      <w:ind w:left="1247" w:hanging="68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number"/>
    <w:qFormat/>
    <w:rsid w:val="00200D58"/>
    <w:pPr>
      <w:spacing w:after="120"/>
      <w:ind w:left="1247" w:hanging="680"/>
      <w:outlineLvl w:val="2"/>
    </w:pPr>
    <w:rPr>
      <w:b/>
    </w:rPr>
  </w:style>
  <w:style w:type="paragraph" w:styleId="Heading4">
    <w:name w:val="heading 4"/>
    <w:basedOn w:val="Heading3"/>
    <w:next w:val="Normalnumber"/>
    <w:qFormat/>
    <w:rsid w:val="00715E88"/>
    <w:pPr>
      <w:keepNext/>
      <w:outlineLvl w:val="3"/>
    </w:pPr>
  </w:style>
  <w:style w:type="paragraph" w:styleId="Heading5">
    <w:name w:val="heading 5"/>
    <w:basedOn w:val="Normal"/>
    <w:next w:val="Normal"/>
    <w:qFormat/>
    <w:rsid w:val="00247707"/>
    <w:pPr>
      <w:keepNext/>
      <w:outlineLvl w:val="4"/>
    </w:pPr>
    <w:rPr>
      <w:rFonts w:ascii="Univers" w:hAnsi="Univers"/>
      <w:b/>
      <w:sz w:val="24"/>
    </w:rPr>
  </w:style>
  <w:style w:type="paragraph" w:styleId="Heading6">
    <w:name w:val="heading 6"/>
    <w:basedOn w:val="Normal"/>
    <w:next w:val="Normal"/>
    <w:qFormat/>
    <w:rsid w:val="00247707"/>
    <w:pPr>
      <w:keepNext/>
      <w:ind w:left="578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247707"/>
    <w:pPr>
      <w:keepNext/>
      <w:widowControl w:val="0"/>
      <w:jc w:val="center"/>
      <w:outlineLvl w:val="6"/>
    </w:pPr>
    <w:rPr>
      <w:snapToGrid w:val="0"/>
      <w:u w:val="single"/>
      <w:lang w:val="en-US"/>
    </w:rPr>
  </w:style>
  <w:style w:type="paragraph" w:styleId="Heading8">
    <w:name w:val="heading 8"/>
    <w:basedOn w:val="Normal"/>
    <w:next w:val="Normal"/>
    <w:qFormat/>
    <w:rsid w:val="00247707"/>
    <w:pPr>
      <w:keepNext/>
      <w:widowControl w:val="0"/>
      <w:numPr>
        <w:numId w:val="14"/>
      </w:numPr>
      <w:tabs>
        <w:tab w:val="left" w:pos="-1440"/>
        <w:tab w:val="left" w:pos="-720"/>
      </w:tabs>
      <w:suppressAutoHyphens/>
      <w:ind w:hanging="360"/>
      <w:jc w:val="center"/>
      <w:outlineLvl w:val="7"/>
    </w:pPr>
    <w:rPr>
      <w:snapToGrid w:val="0"/>
      <w:u w:val="single"/>
      <w:lang w:val="en-US"/>
    </w:rPr>
  </w:style>
  <w:style w:type="paragraph" w:styleId="Heading9">
    <w:name w:val="heading 9"/>
    <w:basedOn w:val="Normal"/>
    <w:next w:val="Normal"/>
    <w:qFormat/>
    <w:rsid w:val="00247707"/>
    <w:pPr>
      <w:keepNext/>
      <w:widowControl w:val="0"/>
      <w:numPr>
        <w:numId w:val="15"/>
      </w:numPr>
      <w:suppressAutoHyphens/>
      <w:jc w:val="center"/>
      <w:outlineLvl w:val="8"/>
    </w:pPr>
    <w:rPr>
      <w:snapToGrid w:val="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AB5340"/>
    <w:rPr>
      <w:rFonts w:ascii="Times New Roman" w:hAnsi="Times New Roman"/>
      <w:b/>
      <w:sz w:val="18"/>
    </w:rPr>
  </w:style>
  <w:style w:type="table" w:customStyle="1" w:styleId="Tabledocright">
    <w:name w:val="Table_doc_right"/>
    <w:basedOn w:val="TableNormal"/>
    <w:rsid w:val="00E21C83"/>
    <w:pPr>
      <w:spacing w:before="40" w:after="40"/>
    </w:pPr>
    <w:rPr>
      <w:sz w:val="18"/>
      <w:szCs w:val="18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17" w:type="dxa"/>
        <w:bottom w:w="28" w:type="dxa"/>
        <w:right w:w="17" w:type="dxa"/>
      </w:tblCellMar>
    </w:tblPr>
    <w:trPr>
      <w:jc w:val="right"/>
    </w:trPr>
    <w:tcPr>
      <w:tcMar>
        <w:left w:w="57" w:type="dxa"/>
        <w:right w:w="57" w:type="dxa"/>
      </w:tcMar>
    </w:tcPr>
  </w:style>
  <w:style w:type="paragraph" w:styleId="TOC6">
    <w:name w:val="toc 6"/>
    <w:basedOn w:val="Normal"/>
    <w:next w:val="Normal"/>
    <w:autoRedefine/>
    <w:semiHidden/>
    <w:rsid w:val="002C2C3E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2C2C3E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2C2C3E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2C2C3E"/>
    <w:pPr>
      <w:ind w:left="1600"/>
    </w:pPr>
    <w:rPr>
      <w:sz w:val="18"/>
      <w:szCs w:val="18"/>
    </w:rPr>
  </w:style>
  <w:style w:type="paragraph" w:customStyle="1" w:styleId="Titlefigure">
    <w:name w:val="Title_figure"/>
    <w:basedOn w:val="Titletable"/>
    <w:next w:val="NormalNonumber"/>
    <w:rsid w:val="000247B0"/>
    <w:rPr>
      <w:bCs w:val="0"/>
    </w:rPr>
  </w:style>
  <w:style w:type="paragraph" w:styleId="TableofFigures">
    <w:name w:val="table of figures"/>
    <w:basedOn w:val="Normal"/>
    <w:next w:val="Normal"/>
    <w:autoRedefine/>
    <w:semiHidden/>
    <w:rsid w:val="002A237D"/>
    <w:pPr>
      <w:ind w:left="1814" w:hanging="567"/>
    </w:pPr>
  </w:style>
  <w:style w:type="paragraph" w:customStyle="1" w:styleId="CH1">
    <w:name w:val="CH1"/>
    <w:basedOn w:val="Normal"/>
    <w:next w:val="CH2"/>
    <w:rsid w:val="006303B4"/>
    <w:pPr>
      <w:keepNext/>
      <w:keepLines/>
      <w:tabs>
        <w:tab w:val="right" w:pos="851"/>
      </w:tabs>
      <w:suppressAutoHyphens/>
      <w:spacing w:before="240" w:after="120"/>
      <w:ind w:left="1247" w:right="284" w:hanging="1247"/>
    </w:pPr>
    <w:rPr>
      <w:b/>
      <w:sz w:val="28"/>
      <w:szCs w:val="28"/>
    </w:rPr>
  </w:style>
  <w:style w:type="paragraph" w:customStyle="1" w:styleId="CH2">
    <w:name w:val="CH2"/>
    <w:basedOn w:val="Normal"/>
    <w:next w:val="Normalnumber"/>
    <w:rsid w:val="00CE524C"/>
    <w:pPr>
      <w:keepNext/>
      <w:keepLines/>
      <w:tabs>
        <w:tab w:val="right" w:pos="851"/>
      </w:tabs>
      <w:suppressAutoHyphens/>
      <w:spacing w:before="80" w:after="120"/>
      <w:ind w:left="1247" w:right="284" w:hanging="1247"/>
    </w:pPr>
    <w:rPr>
      <w:b/>
      <w:sz w:val="24"/>
      <w:szCs w:val="24"/>
    </w:rPr>
  </w:style>
  <w:style w:type="paragraph" w:customStyle="1" w:styleId="CH3">
    <w:name w:val="CH3"/>
    <w:basedOn w:val="Normal"/>
    <w:next w:val="Normalnumber"/>
    <w:rsid w:val="006303B4"/>
    <w:pPr>
      <w:keepNext/>
      <w:keepLines/>
      <w:tabs>
        <w:tab w:val="right" w:pos="851"/>
      </w:tabs>
      <w:suppressAutoHyphens/>
      <w:spacing w:after="120"/>
      <w:ind w:left="1247" w:right="284" w:hanging="1247"/>
    </w:pPr>
    <w:rPr>
      <w:b/>
    </w:rPr>
  </w:style>
  <w:style w:type="paragraph" w:customStyle="1" w:styleId="CH4">
    <w:name w:val="CH4"/>
    <w:basedOn w:val="Normal"/>
    <w:next w:val="Normalnumber"/>
    <w:rsid w:val="004C5C96"/>
    <w:pPr>
      <w:keepNext/>
      <w:keepLines/>
      <w:tabs>
        <w:tab w:val="right" w:pos="851"/>
      </w:tabs>
      <w:suppressAutoHyphens/>
      <w:spacing w:after="120"/>
      <w:ind w:left="1247" w:right="284" w:hanging="1247"/>
    </w:pPr>
    <w:rPr>
      <w:b/>
    </w:rPr>
  </w:style>
  <w:style w:type="table" w:customStyle="1" w:styleId="Footertable">
    <w:name w:val="Footer_table"/>
    <w:basedOn w:val="TableNormal"/>
    <w:semiHidden/>
    <w:rsid w:val="001F75DE"/>
    <w:rPr>
      <w:rFonts w:ascii="Arial" w:hAnsi="Arial"/>
      <w:sz w:val="16"/>
    </w:rPr>
    <w:tblPr>
      <w:jc w:val="righ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</w:tblPr>
    <w:trPr>
      <w:jc w:val="right"/>
    </w:trPr>
    <w:tcPr>
      <w:tcMar>
        <w:top w:w="28" w:type="dxa"/>
        <w:bottom w:w="28" w:type="dxa"/>
      </w:tcMar>
    </w:tcPr>
  </w:style>
  <w:style w:type="paragraph" w:customStyle="1" w:styleId="CH5">
    <w:name w:val="CH5"/>
    <w:basedOn w:val="Normal"/>
    <w:next w:val="Normalnumber"/>
    <w:semiHidden/>
    <w:rsid w:val="00D8108C"/>
    <w:pPr>
      <w:keepNext/>
      <w:keepLines/>
      <w:tabs>
        <w:tab w:val="right" w:pos="851"/>
      </w:tabs>
      <w:suppressAutoHyphens/>
      <w:spacing w:after="120"/>
      <w:ind w:left="1247" w:right="284" w:hanging="1247"/>
    </w:pPr>
    <w:rPr>
      <w:b/>
    </w:rPr>
  </w:style>
  <w:style w:type="character" w:styleId="FootnoteReference">
    <w:name w:val="footnote reference"/>
    <w:basedOn w:val="DefaultParagraphFont"/>
    <w:qFormat/>
    <w:rsid w:val="001559C9"/>
    <w:rPr>
      <w:rFonts w:ascii="Times New Roman" w:hAnsi="Times New Roman"/>
      <w:color w:val="auto"/>
      <w:sz w:val="20"/>
      <w:szCs w:val="18"/>
      <w:vertAlign w:val="superscript"/>
    </w:rPr>
  </w:style>
  <w:style w:type="paragraph" w:styleId="FootnoteText">
    <w:name w:val="footnote text"/>
    <w:basedOn w:val="Normal"/>
    <w:link w:val="FootnoteTextChar"/>
    <w:rsid w:val="00247707"/>
    <w:pPr>
      <w:spacing w:before="20" w:after="40"/>
      <w:ind w:left="1247"/>
    </w:pPr>
    <w:rPr>
      <w:sz w:val="18"/>
    </w:rPr>
  </w:style>
  <w:style w:type="table" w:customStyle="1" w:styleId="AATable">
    <w:name w:val="AA_Table"/>
    <w:basedOn w:val="TableNormal"/>
    <w:rsid w:val="00651BFA"/>
    <w:tblPr>
      <w:tblStyleRowBandSize w:val="1"/>
      <w:tblStyleColBandSize w:val="1"/>
      <w:jc w:val="right"/>
    </w:tblPr>
    <w:trPr>
      <w:jc w:val="right"/>
    </w:trPr>
    <w:tblStylePr w:type="firstRow">
      <w:pPr>
        <w:wordWrap/>
        <w:spacing w:beforeLines="0" w:before="0" w:beforeAutospacing="0" w:afterLines="0" w:after="0" w:afterAutospacing="0"/>
        <w:contextualSpacing w:val="0"/>
        <w:jc w:val="left"/>
      </w:pPr>
      <w:rPr>
        <w:rFonts w:ascii="Arial" w:hAnsi="Arial"/>
        <w:b/>
        <w:i w:val="0"/>
        <w:caps/>
        <w:smallCaps w:val="0"/>
        <w:color w:val="auto"/>
        <w:sz w:val="27"/>
        <w:szCs w:val="27"/>
      </w:rPr>
    </w:tblStylePr>
    <w:tblStylePr w:type="lastRow">
      <w:pPr>
        <w:wordWrap/>
        <w:ind w:rightChars="0" w:right="567"/>
      </w:pPr>
      <w:rPr>
        <w:rFonts w:ascii="Arial" w:hAnsi="Arial"/>
        <w:b/>
        <w:sz w:val="3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firstCol">
      <w:pPr>
        <w:wordWrap/>
        <w:ind w:rightChars="0" w:right="0"/>
      </w:pPr>
    </w:tblStylePr>
    <w:tblStylePr w:type="lastCol">
      <w:rPr>
        <w:rFonts w:ascii="Times New Roman" w:hAnsi="Times New Roman"/>
        <w:sz w:val="20"/>
      </w:rPr>
    </w:tblStylePr>
    <w:tblStylePr w:type="band1Vert">
      <w:rPr>
        <w:rFonts w:ascii="Times New Roman" w:hAnsi="Times New Roman"/>
      </w:rPr>
    </w:tblStylePr>
    <w:tblStylePr w:type="band2Vert">
      <w:pPr>
        <w:wordWrap/>
        <w:spacing w:beforeLines="0" w:before="0" w:beforeAutospacing="0" w:afterLines="0" w:after="0" w:afterAutospacing="0"/>
        <w:contextualSpacing w:val="0"/>
      </w:pPr>
      <w:rPr>
        <w:rFonts w:ascii="Times New Roman" w:hAnsi="Times New Roman"/>
        <w:b/>
        <w:i w:val="0"/>
        <w:color w:val="auto"/>
        <w:sz w:val="20"/>
        <w:szCs w:val="32"/>
      </w:rPr>
    </w:tblStylePr>
    <w:tblStylePr w:type="band1Horz">
      <w:rPr>
        <w:rFonts w:ascii="Times New Roman" w:hAnsi="Times New Roman"/>
        <w:sz w:val="20"/>
      </w:rPr>
      <w:tblPr/>
      <w:tcPr>
        <w:tcBorders>
          <w:bottom w:val="single" w:sz="4" w:space="0" w:color="auto"/>
        </w:tcBorders>
      </w:tcPr>
    </w:tblStylePr>
    <w:tblStylePr w:type="band2Horz">
      <w:rPr>
        <w:rFonts w:ascii="Times New Roman" w:hAnsi="Times New Roman"/>
        <w:b w:val="0"/>
        <w:i w:val="0"/>
        <w:color w:val="auto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pPr>
        <w:wordWrap/>
        <w:spacing w:beforeLines="0" w:before="0" w:beforeAutospacing="0" w:afterLines="0" w:after="0" w:afterAutospacing="0"/>
        <w:contextualSpacing w:val="0"/>
        <w:jc w:val="right"/>
      </w:pPr>
      <w:rPr>
        <w:rFonts w:ascii="Arial" w:hAnsi="Arial"/>
        <w:b/>
        <w:i w:val="0"/>
        <w:color w:val="auto"/>
        <w:sz w:val="64"/>
        <w:szCs w:val="64"/>
      </w:rPr>
    </w:tblStylePr>
    <w:tblStylePr w:type="nwCell">
      <w:rPr>
        <w:rFonts w:ascii="Arial" w:hAnsi="Arial"/>
        <w:b/>
        <w:i w:val="0"/>
        <w:caps/>
        <w:smallCaps w:val="0"/>
        <w:color w:val="auto"/>
        <w:sz w:val="27"/>
        <w:szCs w:val="27"/>
      </w:rPr>
    </w:tblStylePr>
    <w:tblStylePr w:type="seCell">
      <w:pPr>
        <w:wordWrap/>
        <w:spacing w:beforeLines="0" w:before="120" w:beforeAutospacing="0" w:afterLines="0" w:after="120" w:afterAutospacing="0"/>
        <w:ind w:leftChars="0" w:left="0" w:rightChars="0" w:right="0"/>
        <w:contextualSpacing w:val="0"/>
      </w:pPr>
      <w:rPr>
        <w:rFonts w:ascii="Times New Roman" w:hAnsi="Times New Roman"/>
        <w:b w:val="0"/>
        <w:sz w:val="20"/>
      </w:rPr>
    </w:tblStylePr>
    <w:tblStylePr w:type="swCell">
      <w:pPr>
        <w:wordWrap/>
        <w:spacing w:afterLines="0" w:after="1600" w:afterAutospacing="0"/>
        <w:ind w:rightChars="0" w:right="0"/>
      </w:pPr>
      <w:rPr>
        <w:rFonts w:ascii="Times New Roman" w:hAnsi="Times New Roman"/>
      </w:rPr>
    </w:tblStylePr>
  </w:style>
  <w:style w:type="paragraph" w:customStyle="1" w:styleId="AATitle">
    <w:name w:val="AA_Title"/>
    <w:basedOn w:val="Normal"/>
    <w:qFormat/>
    <w:rsid w:val="00A469FA"/>
    <w:pPr>
      <w:keepNext/>
      <w:keepLines/>
      <w:suppressAutoHyphens/>
      <w:ind w:right="3402"/>
    </w:pPr>
    <w:rPr>
      <w:b/>
    </w:rPr>
  </w:style>
  <w:style w:type="paragraph" w:customStyle="1" w:styleId="AATitle2">
    <w:name w:val="AA_Title2"/>
    <w:basedOn w:val="AATitle"/>
    <w:rsid w:val="006431A6"/>
    <w:pPr>
      <w:spacing w:before="120" w:after="120"/>
      <w:ind w:right="1701"/>
    </w:pPr>
  </w:style>
  <w:style w:type="paragraph" w:customStyle="1" w:styleId="BBTitle">
    <w:name w:val="BB_Title"/>
    <w:basedOn w:val="Normal"/>
    <w:rsid w:val="0009640C"/>
    <w:pPr>
      <w:keepNext/>
      <w:keepLines/>
      <w:suppressAutoHyphens/>
      <w:spacing w:before="320" w:after="240"/>
      <w:ind w:left="1247" w:right="567"/>
    </w:pPr>
    <w:rPr>
      <w:b/>
      <w:sz w:val="28"/>
      <w:szCs w:val="28"/>
    </w:rPr>
  </w:style>
  <w:style w:type="paragraph" w:styleId="Footer">
    <w:name w:val="footer"/>
    <w:aliases w:val="Footer-pool"/>
    <w:basedOn w:val="Normal"/>
    <w:rsid w:val="002A6864"/>
    <w:pPr>
      <w:tabs>
        <w:tab w:val="center" w:pos="4320"/>
        <w:tab w:val="right" w:pos="8640"/>
      </w:tabs>
      <w:spacing w:before="60" w:after="120"/>
    </w:pPr>
  </w:style>
  <w:style w:type="paragraph" w:styleId="Header">
    <w:name w:val="header"/>
    <w:aliases w:val="Header-pool"/>
    <w:basedOn w:val="Normal"/>
    <w:link w:val="HeaderChar"/>
    <w:rsid w:val="00AB5340"/>
    <w:pPr>
      <w:pBdr>
        <w:bottom w:val="single" w:sz="4" w:space="1" w:color="auto"/>
      </w:pBdr>
      <w:tabs>
        <w:tab w:val="center" w:pos="4536"/>
        <w:tab w:val="right" w:pos="9072"/>
      </w:tabs>
      <w:spacing w:after="120"/>
    </w:pPr>
    <w:rPr>
      <w:b/>
      <w:sz w:val="18"/>
    </w:rPr>
  </w:style>
  <w:style w:type="character" w:styleId="Hyperlink">
    <w:name w:val="Hyperlink"/>
    <w:basedOn w:val="DefaultParagraphFont"/>
    <w:semiHidden/>
    <w:rsid w:val="00715E88"/>
    <w:rPr>
      <w:rFonts w:ascii="Times New Roman" w:hAnsi="Times New Roman"/>
      <w:color w:val="auto"/>
      <w:sz w:val="20"/>
      <w:szCs w:val="20"/>
      <w:u w:val="none"/>
      <w:lang w:val="fr-FR"/>
    </w:rPr>
  </w:style>
  <w:style w:type="numbering" w:customStyle="1" w:styleId="Normallist">
    <w:name w:val="Normal_list"/>
    <w:basedOn w:val="NoList"/>
    <w:rsid w:val="00071886"/>
    <w:pPr>
      <w:numPr>
        <w:numId w:val="16"/>
      </w:numPr>
    </w:pPr>
  </w:style>
  <w:style w:type="paragraph" w:customStyle="1" w:styleId="NormalNonumber">
    <w:name w:val="Normal_No_number"/>
    <w:basedOn w:val="Normal"/>
    <w:rsid w:val="004C5C96"/>
    <w:pPr>
      <w:spacing w:after="120"/>
      <w:ind w:left="1247"/>
    </w:pPr>
  </w:style>
  <w:style w:type="paragraph" w:customStyle="1" w:styleId="Normalnumber">
    <w:name w:val="Normal_number"/>
    <w:basedOn w:val="Normal"/>
    <w:rsid w:val="00071886"/>
    <w:pPr>
      <w:numPr>
        <w:numId w:val="37"/>
      </w:numPr>
      <w:spacing w:after="120"/>
    </w:pPr>
  </w:style>
  <w:style w:type="paragraph" w:customStyle="1" w:styleId="Titletable">
    <w:name w:val="Title_table"/>
    <w:basedOn w:val="Normal"/>
    <w:rsid w:val="000247B0"/>
    <w:pPr>
      <w:keepNext/>
      <w:keepLines/>
      <w:suppressAutoHyphens/>
      <w:spacing w:after="60"/>
      <w:ind w:left="1247"/>
    </w:pPr>
    <w:rPr>
      <w:b/>
      <w:bCs/>
    </w:rPr>
  </w:style>
  <w:style w:type="paragraph" w:styleId="TOC1">
    <w:name w:val="toc 1"/>
    <w:basedOn w:val="Normal"/>
    <w:next w:val="Normal"/>
    <w:rsid w:val="003F0E85"/>
    <w:pPr>
      <w:tabs>
        <w:tab w:val="right" w:leader="dot" w:pos="9486"/>
      </w:tabs>
      <w:spacing w:before="120" w:after="120"/>
      <w:ind w:left="1814" w:hanging="567"/>
    </w:pPr>
    <w:rPr>
      <w:bCs/>
    </w:rPr>
  </w:style>
  <w:style w:type="paragraph" w:styleId="TOC2">
    <w:name w:val="toc 2"/>
    <w:basedOn w:val="Normal"/>
    <w:next w:val="Normal"/>
    <w:rsid w:val="002C2C3E"/>
    <w:pPr>
      <w:tabs>
        <w:tab w:val="right" w:leader="dot" w:pos="9486"/>
      </w:tabs>
      <w:ind w:left="2381" w:hanging="567"/>
    </w:pPr>
  </w:style>
  <w:style w:type="paragraph" w:styleId="TOC3">
    <w:name w:val="toc 3"/>
    <w:basedOn w:val="Normal"/>
    <w:next w:val="Normal"/>
    <w:rsid w:val="002929D8"/>
    <w:pPr>
      <w:tabs>
        <w:tab w:val="right" w:leader="dot" w:pos="9486"/>
      </w:tabs>
      <w:ind w:left="2948" w:hanging="567"/>
    </w:pPr>
    <w:rPr>
      <w:iCs/>
    </w:rPr>
  </w:style>
  <w:style w:type="paragraph" w:styleId="TOC4">
    <w:name w:val="toc 4"/>
    <w:basedOn w:val="Normal"/>
    <w:next w:val="Normal"/>
    <w:rsid w:val="002929D8"/>
    <w:pPr>
      <w:tabs>
        <w:tab w:val="left" w:pos="1000"/>
        <w:tab w:val="right" w:leader="dot" w:pos="9486"/>
      </w:tabs>
      <w:ind w:left="3515" w:hanging="567"/>
    </w:pPr>
    <w:rPr>
      <w:szCs w:val="18"/>
    </w:rPr>
  </w:style>
  <w:style w:type="paragraph" w:styleId="TOC5">
    <w:name w:val="toc 5"/>
    <w:basedOn w:val="Normal"/>
    <w:next w:val="Normal"/>
    <w:autoRedefine/>
    <w:semiHidden/>
    <w:rsid w:val="00247707"/>
    <w:pPr>
      <w:ind w:left="800"/>
    </w:pPr>
    <w:rPr>
      <w:sz w:val="18"/>
      <w:szCs w:val="18"/>
    </w:rPr>
  </w:style>
  <w:style w:type="paragraph" w:customStyle="1" w:styleId="ZZAnxheader">
    <w:name w:val="ZZ_Anx_header"/>
    <w:basedOn w:val="Normal"/>
    <w:rsid w:val="00715E88"/>
    <w:rPr>
      <w:b/>
      <w:bCs/>
      <w:sz w:val="28"/>
    </w:rPr>
  </w:style>
  <w:style w:type="paragraph" w:customStyle="1" w:styleId="ZZAnxtitle">
    <w:name w:val="ZZ_Anx_title"/>
    <w:basedOn w:val="Normal"/>
    <w:rsid w:val="00715E88"/>
    <w:pPr>
      <w:spacing w:before="360" w:after="120"/>
      <w:ind w:left="1247"/>
    </w:pPr>
    <w:rPr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CC766A"/>
    <w:pPr>
      <w:ind w:left="720"/>
      <w:contextualSpacing/>
    </w:pPr>
  </w:style>
  <w:style w:type="character" w:customStyle="1" w:styleId="FootnoteTextChar">
    <w:name w:val="Footnote Text Char"/>
    <w:link w:val="FootnoteText"/>
    <w:semiHidden/>
    <w:qFormat/>
    <w:rsid w:val="00CC766A"/>
    <w:rPr>
      <w:sz w:val="18"/>
      <w:lang w:val="en-GB"/>
    </w:rPr>
  </w:style>
  <w:style w:type="table" w:styleId="TableGrid">
    <w:name w:val="Table Grid"/>
    <w:basedOn w:val="TableNormal"/>
    <w:uiPriority w:val="39"/>
    <w:rsid w:val="00CC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7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766A"/>
    <w:rPr>
      <w:rFonts w:ascii="Segoe UI" w:eastAsia="Calibri" w:hAnsi="Segoe UI" w:cs="Segoe UI"/>
      <w:sz w:val="18"/>
      <w:szCs w:val="18"/>
      <w:lang w:val="en-GB"/>
    </w:rPr>
  </w:style>
  <w:style w:type="character" w:customStyle="1" w:styleId="HeaderChar">
    <w:name w:val="Header Char"/>
    <w:aliases w:val="Header-pool Char"/>
    <w:basedOn w:val="DefaultParagraphFont"/>
    <w:link w:val="Header"/>
    <w:rsid w:val="00455F0E"/>
    <w:rPr>
      <w:rFonts w:eastAsia="Calibri"/>
      <w:b/>
      <w:sz w:val="18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5E5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A965-5BBC-482B-9489-6C79BAC9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2475</Words>
  <Characters>14111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NATIONS UNIES</vt:lpstr>
      <vt:lpstr>NATIONS UNIES</vt:lpstr>
    </vt:vector>
  </TitlesOfParts>
  <Company>United Nations</Company>
  <LinksUpToDate>false</LinksUpToDate>
  <CharactersWithSpaces>16553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NATIONS UNIES</dc:title>
  <dc:creator>Veronica Gathu</dc:creator>
  <cp:lastModifiedBy>John Njuguna</cp:lastModifiedBy>
  <cp:revision>2</cp:revision>
  <cp:lastPrinted>2017-12-03T12:37:00Z</cp:lastPrinted>
  <dcterms:created xsi:type="dcterms:W3CDTF">2019-02-08T07:00:00Z</dcterms:created>
  <dcterms:modified xsi:type="dcterms:W3CDTF">2019-02-08T07:00:00Z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denis.pshenichnikov</vt:lpwstr>
  </property>
  <property fmtid="{D5CDD505-2E9C-101B-9397-08002B2CF9AE}" pid="4" name="GeneratedDate">
    <vt:lpwstr>10/25/2017 1:39:20 PM</vt:lpwstr>
  </property>
  <property fmtid="{D5CDD505-2E9C-101B-9397-08002B2CF9AE}" pid="5" name="OriginalDocID">
    <vt:lpwstr>865e7234-c186-4932-8223-85f5cd2fd5f8</vt:lpwstr>
  </property>
</Properties>
</file>